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13.07. – 17.07.2026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13.07.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Revision of the final presentation incorporating supervisor feedback; addition of detailed figures (patient-specific LOO curves).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14.07.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Practice talks (internal): 20-min talk delivered; time management and Q&amp;A practised; optimization of slide structure.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15.07.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Additional analysis: correlation of LOO-RMSE with clinical metadata (age, BMI, antibiotic use); exploratory covariate analysis.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16.07.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Creation of supplementary figures for the report; verification of reproducibility of all results (seeds, version control, README).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17.07.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Code documentation and commenting (README, requirements.txt, example scripts); ensuring traceability of all analyses.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refined the final presentation based on supervisor feedback and delivered internal practice talks, focusing on time management and Q&amp;A. An additional exploratory covariate analysis was implemented, correlating LOO-RMSE with clinical metadata (age, BMI, antibiotic use). Supplementary figures and comprehensive code documentation (README, requirements.txt) were produced to ensure full reproducibility.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