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EE7C" w14:textId="10EBCC07" w:rsidR="00452BCB" w:rsidRPr="00E92EDD" w:rsidRDefault="00E92EDD" w:rsidP="00E92EDD">
      <w:pPr>
        <w:jc w:val="center"/>
        <w:rPr>
          <w:sz w:val="24"/>
          <w:szCs w:val="24"/>
        </w:rPr>
      </w:pPr>
      <w:r w:rsidRPr="00E92EDD">
        <w:rPr>
          <w:rFonts w:hint="eastAsia"/>
          <w:sz w:val="24"/>
          <w:szCs w:val="24"/>
        </w:rPr>
        <w:t>ファイナンス入門　第1回財務分析レポート</w:t>
      </w:r>
    </w:p>
    <w:p w14:paraId="0CCCD7AC" w14:textId="20385D39" w:rsidR="00E92EDD" w:rsidRDefault="00E92EDD" w:rsidP="00E92EDD">
      <w:pPr>
        <w:jc w:val="right"/>
      </w:pPr>
      <w:r>
        <w:rPr>
          <w:rFonts w:hint="eastAsia"/>
        </w:rPr>
        <w:t>氏名：園山佳典</w:t>
      </w:r>
    </w:p>
    <w:p w14:paraId="66FA4FF3" w14:textId="553F9235" w:rsidR="00E92EDD" w:rsidRDefault="00E92EDD" w:rsidP="00E92EDD">
      <w:pPr>
        <w:jc w:val="right"/>
        <w:rPr>
          <w:rFonts w:hint="eastAsia"/>
        </w:rPr>
      </w:pPr>
      <w:r>
        <w:rPr>
          <w:rFonts w:hint="eastAsia"/>
        </w:rPr>
        <w:t>学籍番号：2</w:t>
      </w:r>
      <w:r>
        <w:t>6002201991</w:t>
      </w:r>
    </w:p>
    <w:p w14:paraId="1A4BB45F" w14:textId="77777777" w:rsidR="00452BCB" w:rsidRPr="00E92EDD" w:rsidRDefault="00452BCB">
      <w:pPr>
        <w:rPr>
          <w:rFonts w:hint="eastAsia"/>
        </w:rPr>
      </w:pPr>
    </w:p>
    <w:p w14:paraId="7838A4A3" w14:textId="465390D4" w:rsidR="007E32B4" w:rsidRPr="00E92EDD" w:rsidRDefault="00E16E1A">
      <w:pPr>
        <w:rPr>
          <w:sz w:val="22"/>
        </w:rPr>
      </w:pPr>
      <w:r w:rsidRPr="00E92EDD">
        <w:rPr>
          <w:rFonts w:hint="eastAsia"/>
          <w:sz w:val="22"/>
        </w:rPr>
        <w:t>１損益状況</w:t>
      </w:r>
    </w:p>
    <w:p w14:paraId="1697CBF7" w14:textId="23977BAF" w:rsidR="00C16DB0" w:rsidRDefault="00C16DB0" w:rsidP="00452BCB">
      <w:pPr>
        <w:jc w:val="center"/>
        <w:rPr>
          <w:rFonts w:hint="eastAsia"/>
        </w:rPr>
      </w:pPr>
      <w:r>
        <w:rPr>
          <w:rFonts w:hint="eastAsia"/>
          <w:noProof/>
        </w:rPr>
        <w:drawing>
          <wp:inline distT="0" distB="0" distL="0" distR="0" wp14:anchorId="05709E01" wp14:editId="4C82CFE8">
            <wp:extent cx="4633946" cy="3467125"/>
            <wp:effectExtent l="0" t="0" r="0" b="0"/>
            <wp:docPr id="1668949623" name="図 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49623" name="図 4" descr="テーブル&#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4633946" cy="3467125"/>
                    </a:xfrm>
                    <a:prstGeom prst="rect">
                      <a:avLst/>
                    </a:prstGeom>
                  </pic:spPr>
                </pic:pic>
              </a:graphicData>
            </a:graphic>
          </wp:inline>
        </w:drawing>
      </w:r>
    </w:p>
    <w:p w14:paraId="6D3A4D5C" w14:textId="23C4AC8A" w:rsidR="00C16DB0" w:rsidRDefault="00634E5B" w:rsidP="00452BCB">
      <w:pPr>
        <w:jc w:val="center"/>
        <w:rPr>
          <w:rFonts w:hint="eastAsia"/>
        </w:rPr>
      </w:pPr>
      <w:r>
        <w:rPr>
          <w:rFonts w:hint="eastAsia"/>
        </w:rPr>
        <w:t>図1</w:t>
      </w:r>
      <w:r w:rsidR="00452BCB">
        <w:rPr>
          <w:rFonts w:hint="eastAsia"/>
        </w:rPr>
        <w:t xml:space="preserve">　損益状況等</w:t>
      </w:r>
    </w:p>
    <w:p w14:paraId="26B3FFAC" w14:textId="5D517C3B" w:rsidR="00E16E1A" w:rsidRDefault="009C296D">
      <w:pPr>
        <w:rPr>
          <w:rFonts w:ascii="Arial" w:hAnsi="Arial" w:cs="Arial"/>
          <w:color w:val="1F1F1F"/>
          <w:shd w:val="clear" w:color="auto" w:fill="FFFFFF"/>
        </w:rPr>
      </w:pPr>
      <w:r>
        <w:rPr>
          <w:rFonts w:ascii="Arial" w:hAnsi="Arial" w:cs="Arial"/>
          <w:color w:val="1F1F1F"/>
          <w:shd w:val="clear" w:color="auto" w:fill="FFFFFF"/>
        </w:rPr>
        <w:t>任天堂の損益状況は、近年好調に推移してい</w:t>
      </w:r>
      <w:r w:rsidR="003E2791">
        <w:rPr>
          <w:rFonts w:ascii="Arial" w:hAnsi="Arial" w:cs="Arial" w:hint="eastAsia"/>
          <w:color w:val="1F1F1F"/>
          <w:shd w:val="clear" w:color="auto" w:fill="FFFFFF"/>
        </w:rPr>
        <w:t>る</w:t>
      </w:r>
      <w:r>
        <w:rPr>
          <w:rFonts w:ascii="Arial" w:hAnsi="Arial" w:cs="Arial"/>
          <w:color w:val="1F1F1F"/>
          <w:shd w:val="clear" w:color="auto" w:fill="FFFFFF"/>
        </w:rPr>
        <w:t>。</w:t>
      </w:r>
      <w:r>
        <w:rPr>
          <w:rFonts w:ascii="Arial" w:hAnsi="Arial" w:cs="Arial"/>
          <w:color w:val="1F1F1F"/>
          <w:shd w:val="clear" w:color="auto" w:fill="FFFFFF"/>
        </w:rPr>
        <w:t>2023</w:t>
      </w:r>
      <w:r>
        <w:rPr>
          <w:rFonts w:ascii="Arial" w:hAnsi="Arial" w:cs="Arial"/>
          <w:color w:val="1F1F1F"/>
          <w:shd w:val="clear" w:color="auto" w:fill="FFFFFF"/>
        </w:rPr>
        <w:t>年</w:t>
      </w:r>
      <w:r>
        <w:rPr>
          <w:rFonts w:ascii="Arial" w:hAnsi="Arial" w:cs="Arial"/>
          <w:color w:val="1F1F1F"/>
          <w:shd w:val="clear" w:color="auto" w:fill="FFFFFF"/>
        </w:rPr>
        <w:t>3</w:t>
      </w:r>
      <w:r>
        <w:rPr>
          <w:rFonts w:ascii="Arial" w:hAnsi="Arial" w:cs="Arial"/>
          <w:color w:val="1F1F1F"/>
          <w:shd w:val="clear" w:color="auto" w:fill="FFFFFF"/>
        </w:rPr>
        <w:t>月期の売上高は</w:t>
      </w:r>
      <w:r>
        <w:rPr>
          <w:rFonts w:ascii="Arial" w:hAnsi="Arial" w:cs="Arial"/>
          <w:color w:val="1F1F1F"/>
          <w:shd w:val="clear" w:color="auto" w:fill="FFFFFF"/>
        </w:rPr>
        <w:t>3</w:t>
      </w:r>
      <w:r>
        <w:rPr>
          <w:rFonts w:ascii="Arial" w:hAnsi="Arial" w:cs="Arial"/>
          <w:color w:val="1F1F1F"/>
          <w:shd w:val="clear" w:color="auto" w:fill="FFFFFF"/>
        </w:rPr>
        <w:t>兆</w:t>
      </w:r>
      <w:r>
        <w:rPr>
          <w:rFonts w:ascii="Arial" w:hAnsi="Arial" w:cs="Arial"/>
          <w:color w:val="1F1F1F"/>
          <w:shd w:val="clear" w:color="auto" w:fill="FFFFFF"/>
        </w:rPr>
        <w:t>3130</w:t>
      </w:r>
      <w:r>
        <w:rPr>
          <w:rFonts w:ascii="Arial" w:hAnsi="Arial" w:cs="Arial"/>
          <w:color w:val="1F1F1F"/>
          <w:shd w:val="clear" w:color="auto" w:fill="FFFFFF"/>
        </w:rPr>
        <w:t>億円、営業利益は</w:t>
      </w:r>
      <w:r>
        <w:rPr>
          <w:rFonts w:ascii="Arial" w:hAnsi="Arial" w:cs="Arial"/>
          <w:color w:val="1F1F1F"/>
          <w:shd w:val="clear" w:color="auto" w:fill="FFFFFF"/>
        </w:rPr>
        <w:t>1704</w:t>
      </w:r>
      <w:r>
        <w:rPr>
          <w:rFonts w:ascii="Arial" w:hAnsi="Arial" w:cs="Arial"/>
          <w:color w:val="1F1F1F"/>
          <w:shd w:val="clear" w:color="auto" w:fill="FFFFFF"/>
        </w:rPr>
        <w:t>億円と、いずれも過去最高を記録した。このことから、任天堂</w:t>
      </w:r>
      <w:r>
        <w:rPr>
          <w:rFonts w:ascii="Arial" w:hAnsi="Arial" w:cs="Arial" w:hint="eastAsia"/>
          <w:color w:val="1F1F1F"/>
          <w:shd w:val="clear" w:color="auto" w:fill="FFFFFF"/>
        </w:rPr>
        <w:t>安定した</w:t>
      </w:r>
      <w:r>
        <w:rPr>
          <w:rFonts w:ascii="Arial" w:hAnsi="Arial" w:cs="Arial"/>
          <w:color w:val="1F1F1F"/>
          <w:shd w:val="clear" w:color="auto" w:fill="FFFFFF"/>
        </w:rPr>
        <w:t>経営基盤を築き、成長を続けていることがわか</w:t>
      </w:r>
      <w:r>
        <w:rPr>
          <w:rFonts w:ascii="Arial" w:hAnsi="Arial" w:cs="Arial" w:hint="eastAsia"/>
          <w:color w:val="1F1F1F"/>
          <w:shd w:val="clear" w:color="auto" w:fill="FFFFFF"/>
        </w:rPr>
        <w:t>る</w:t>
      </w:r>
      <w:r>
        <w:rPr>
          <w:rFonts w:ascii="Arial" w:hAnsi="Arial" w:cs="Arial"/>
          <w:color w:val="1F1F1F"/>
          <w:shd w:val="clear" w:color="auto" w:fill="FFFFFF"/>
        </w:rPr>
        <w:t>。任天堂の損益状況は、株主や投資家からの信頼獲得につなが</w:t>
      </w:r>
      <w:r>
        <w:rPr>
          <w:rFonts w:ascii="Arial" w:hAnsi="Arial" w:cs="Arial" w:hint="eastAsia"/>
          <w:color w:val="1F1F1F"/>
          <w:shd w:val="clear" w:color="auto" w:fill="FFFFFF"/>
        </w:rPr>
        <w:t>る</w:t>
      </w:r>
      <w:r>
        <w:rPr>
          <w:rFonts w:ascii="Arial" w:hAnsi="Arial" w:cs="Arial"/>
          <w:color w:val="1F1F1F"/>
          <w:shd w:val="clear" w:color="auto" w:fill="FFFFFF"/>
        </w:rPr>
        <w:t>。</w:t>
      </w:r>
      <w:r>
        <w:rPr>
          <w:rFonts w:ascii="Arial" w:hAnsi="Arial" w:cs="Arial"/>
          <w:color w:val="1F1F1F"/>
          <w:shd w:val="clear" w:color="auto" w:fill="FFFFFF"/>
        </w:rPr>
        <w:t>2023</w:t>
      </w:r>
      <w:r>
        <w:rPr>
          <w:rFonts w:ascii="Arial" w:hAnsi="Arial" w:cs="Arial"/>
          <w:color w:val="1F1F1F"/>
          <w:shd w:val="clear" w:color="auto" w:fill="FFFFFF"/>
        </w:rPr>
        <w:t>年</w:t>
      </w:r>
      <w:r>
        <w:rPr>
          <w:rFonts w:ascii="Arial" w:hAnsi="Arial" w:cs="Arial"/>
          <w:color w:val="1F1F1F"/>
          <w:shd w:val="clear" w:color="auto" w:fill="FFFFFF"/>
        </w:rPr>
        <w:t>3</w:t>
      </w:r>
      <w:r>
        <w:rPr>
          <w:rFonts w:ascii="Arial" w:hAnsi="Arial" w:cs="Arial"/>
          <w:color w:val="1F1F1F"/>
          <w:shd w:val="clear" w:color="auto" w:fill="FFFFFF"/>
        </w:rPr>
        <w:t>月期の株価は、前期比で約</w:t>
      </w:r>
      <w:r>
        <w:rPr>
          <w:rFonts w:ascii="Arial" w:hAnsi="Arial" w:cs="Arial"/>
          <w:color w:val="1F1F1F"/>
          <w:shd w:val="clear" w:color="auto" w:fill="FFFFFF"/>
        </w:rPr>
        <w:t>30</w:t>
      </w:r>
      <w:r>
        <w:rPr>
          <w:rFonts w:ascii="Arial" w:hAnsi="Arial" w:cs="Arial"/>
          <w:color w:val="1F1F1F"/>
          <w:shd w:val="clear" w:color="auto" w:fill="FFFFFF"/>
        </w:rPr>
        <w:t>％上昇した。このことから、任天堂の業績に対する株主や投資家の期待の高さが</w:t>
      </w:r>
      <w:r>
        <w:rPr>
          <w:rFonts w:ascii="Arial" w:hAnsi="Arial" w:cs="Arial" w:hint="eastAsia"/>
          <w:color w:val="1F1F1F"/>
          <w:shd w:val="clear" w:color="auto" w:fill="FFFFFF"/>
        </w:rPr>
        <w:t>わかる</w:t>
      </w:r>
      <w:r>
        <w:rPr>
          <w:rFonts w:ascii="Arial" w:hAnsi="Arial" w:cs="Arial"/>
          <w:color w:val="1F1F1F"/>
          <w:shd w:val="clear" w:color="auto" w:fill="FFFFFF"/>
        </w:rPr>
        <w:t>。</w:t>
      </w:r>
    </w:p>
    <w:p w14:paraId="46156D4D" w14:textId="75B8A0CB" w:rsidR="003E2791" w:rsidRDefault="003E2791">
      <w:r w:rsidRPr="003E2791">
        <w:rPr>
          <w:rFonts w:hint="eastAsia"/>
        </w:rPr>
        <w:t>当期（</w:t>
      </w:r>
      <w:r w:rsidRPr="003E2791">
        <w:t>2022年4月～2023年3月）のNintendoSwitchビジネスは、『ポケットモンスタースカーレット・バイオレット』が2,210万本、『スプラトゥーン3』が1,067万本とそれぞれ好調な販売を記録し</w:t>
      </w:r>
      <w:r>
        <w:rPr>
          <w:rFonts w:hint="eastAsia"/>
        </w:rPr>
        <w:t>た</w:t>
      </w:r>
      <w:r w:rsidRPr="003E2791">
        <w:t>。当期に発売したその他の新作タイトルも、『NintendoSwitchSports』が960万本の販売となるなど、順調に販売を伸ばした。加えて、前期以前に発売したタイトルのうち『マリオカート８デラックス』が845万本（累計販売本数5,379万本）、『星のカービィディスカバリー』が381万本（</w:t>
      </w:r>
      <w:r w:rsidRPr="003E2791">
        <w:rPr>
          <w:rFonts w:hint="eastAsia"/>
        </w:rPr>
        <w:t>累計販売本数</w:t>
      </w:r>
      <w:r w:rsidRPr="003E2791">
        <w:t>646万本）の販売を記録した。これらの結果、当期のミリオンセラータイトルはソフトメーカー様の</w:t>
      </w:r>
      <w:r w:rsidRPr="003E2791">
        <w:lastRenderedPageBreak/>
        <w:t>タイトルも含めて35タイトルとな</w:t>
      </w:r>
      <w:r>
        <w:rPr>
          <w:rFonts w:hint="eastAsia"/>
        </w:rPr>
        <w:t>っ</w:t>
      </w:r>
      <w:r w:rsidRPr="003E2791">
        <w:t>た。ハードウェアに関しては、半導体部品等の供給不足によって夏の終わりごろまで生産が影響を受けたことに加え、主に年末商戦で前期ほどの販売の伸びが見られなかったことから、販売台数は前期比22.1％減の1,797万台とな</w:t>
      </w:r>
      <w:r>
        <w:rPr>
          <w:rFonts w:hint="eastAsia"/>
        </w:rPr>
        <w:t>っ</w:t>
      </w:r>
      <w:r w:rsidRPr="003E2791">
        <w:t>た。ソフトウェアは安定した販売状況が続いたものの、ハードウェアの販売減の影響を一部受け、販売本数は前期比9.0％減の2億1,396万本とな</w:t>
      </w:r>
      <w:r>
        <w:rPr>
          <w:rFonts w:hint="eastAsia"/>
        </w:rPr>
        <w:t>っ</w:t>
      </w:r>
      <w:r w:rsidRPr="003E2791">
        <w:t>た</w:t>
      </w:r>
      <w:r w:rsidRPr="003E2791">
        <w:rPr>
          <w:rFonts w:hint="eastAsia"/>
        </w:rPr>
        <w:t>。ゲーム専用機におけるデジタルビジネスでは、円安による為替の影響に加え、</w:t>
      </w:r>
      <w:r w:rsidRPr="003E2791">
        <w:t>NintendoSwitchのパッケージ併売ダウンロードソフトが好調に推移したことやNintendoSwitchOnlineによる売上が増加したことなどにより、デジタル売上高は4,052億円（前期比12.7％増）とな</w:t>
      </w:r>
      <w:r>
        <w:rPr>
          <w:rFonts w:hint="eastAsia"/>
        </w:rPr>
        <w:t>っ</w:t>
      </w:r>
      <w:r w:rsidRPr="003E2791">
        <w:t>た。モバイル・IP関連収入等については、ロイヤリティ収入は増加したが、スマートデバイス向け課金収入が減少したことで、売上高は510億円（前期比4.3％減）とな</w:t>
      </w:r>
      <w:r>
        <w:rPr>
          <w:rFonts w:hint="eastAsia"/>
        </w:rPr>
        <w:t>っ</w:t>
      </w:r>
      <w:r w:rsidRPr="003E2791">
        <w:t>た。これらの状況により、売上高は1兆6,016億円</w:t>
      </w:r>
      <w:r w:rsidRPr="003E2791">
        <w:rPr>
          <w:rFonts w:hint="eastAsia"/>
        </w:rPr>
        <w:t>（うち、海外売上高</w:t>
      </w:r>
      <w:r w:rsidRPr="003E2791">
        <w:t>1兆2,360億円、海外売上高比率77.2％）、営業利益は5,043億円、経常利益は6,010億円、親会社株主に帰属する当期純利益は4,327億円とな</w:t>
      </w:r>
      <w:r>
        <w:rPr>
          <w:rFonts w:hint="eastAsia"/>
        </w:rPr>
        <w:t>った。</w:t>
      </w:r>
    </w:p>
    <w:p w14:paraId="074DC245" w14:textId="77777777" w:rsidR="003E2791" w:rsidRDefault="003E2791"/>
    <w:p w14:paraId="5209EE34" w14:textId="77777777" w:rsidR="00C16DB0" w:rsidRPr="00E92EDD" w:rsidRDefault="003E2791">
      <w:pPr>
        <w:rPr>
          <w:sz w:val="22"/>
        </w:rPr>
      </w:pPr>
      <w:r w:rsidRPr="00E92EDD">
        <w:rPr>
          <w:rFonts w:hint="eastAsia"/>
          <w:sz w:val="22"/>
        </w:rPr>
        <w:t>２財政状態</w:t>
      </w:r>
    </w:p>
    <w:p w14:paraId="4154ADE2" w14:textId="773F4A15" w:rsidR="003E2791" w:rsidRDefault="00C16DB0" w:rsidP="00452BCB">
      <w:pPr>
        <w:jc w:val="center"/>
      </w:pPr>
      <w:r>
        <w:rPr>
          <w:rFonts w:hint="eastAsia"/>
          <w:noProof/>
        </w:rPr>
        <w:drawing>
          <wp:inline distT="0" distB="0" distL="0" distR="0" wp14:anchorId="1327AD86" wp14:editId="74389D55">
            <wp:extent cx="4681572" cy="2824183"/>
            <wp:effectExtent l="0" t="0" r="0" b="0"/>
            <wp:docPr id="1700742231" name="図 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42231" name="図 2" descr="テーブル&#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4681572" cy="2824183"/>
                    </a:xfrm>
                    <a:prstGeom prst="rect">
                      <a:avLst/>
                    </a:prstGeom>
                  </pic:spPr>
                </pic:pic>
              </a:graphicData>
            </a:graphic>
          </wp:inline>
        </w:drawing>
      </w:r>
    </w:p>
    <w:p w14:paraId="0BD72462" w14:textId="01D765B1" w:rsidR="00452BCB" w:rsidRDefault="00452BCB" w:rsidP="00452BCB">
      <w:pPr>
        <w:jc w:val="center"/>
        <w:rPr>
          <w:rFonts w:hint="eastAsia"/>
        </w:rPr>
      </w:pPr>
      <w:r>
        <w:rPr>
          <w:rFonts w:hint="eastAsia"/>
        </w:rPr>
        <w:t>図2　財政状態</w:t>
      </w:r>
    </w:p>
    <w:p w14:paraId="7B617701" w14:textId="367D913E" w:rsidR="001F2157" w:rsidRPr="001F2157" w:rsidRDefault="001F2157">
      <w:pPr>
        <w:rPr>
          <w:b/>
          <w:bCs/>
        </w:rPr>
      </w:pPr>
      <w:r w:rsidRPr="001F2157">
        <w:rPr>
          <w:rFonts w:hint="eastAsia"/>
          <w:b/>
          <w:bCs/>
        </w:rPr>
        <w:t>2</w:t>
      </w:r>
      <w:r w:rsidRPr="001F2157">
        <w:rPr>
          <w:b/>
          <w:bCs/>
        </w:rPr>
        <w:t>021</w:t>
      </w:r>
      <w:r w:rsidRPr="001F2157">
        <w:rPr>
          <w:rFonts w:hint="eastAsia"/>
          <w:b/>
          <w:bCs/>
        </w:rPr>
        <w:t>年から2</w:t>
      </w:r>
      <w:r w:rsidRPr="001F2157">
        <w:rPr>
          <w:b/>
          <w:bCs/>
        </w:rPr>
        <w:t>022</w:t>
      </w:r>
      <w:r w:rsidRPr="001F2157">
        <w:rPr>
          <w:rFonts w:hint="eastAsia"/>
          <w:b/>
          <w:bCs/>
        </w:rPr>
        <w:t>年</w:t>
      </w:r>
    </w:p>
    <w:p w14:paraId="6963F547" w14:textId="42EDC2EC" w:rsidR="001F2157" w:rsidRDefault="001F2157">
      <w:pPr>
        <w:rPr>
          <w:rFonts w:hint="eastAsia"/>
        </w:rPr>
      </w:pPr>
      <w:r>
        <w:t>総資産は、主に棚卸資産や投資有価証券が増加したことにより、前期に比べ2,154億円増加し、2兆6,623億円とな</w:t>
      </w:r>
      <w:r>
        <w:rPr>
          <w:rFonts w:hint="eastAsia"/>
        </w:rPr>
        <w:t>っ</w:t>
      </w:r>
      <w:r>
        <w:t>た。負債は、主に未払法人税等が減少したが、支払手形及び買掛金などが増加したことにより、前期に 比べ207億円増加し、5,930億円とな</w:t>
      </w:r>
      <w:r>
        <w:rPr>
          <w:rFonts w:hint="eastAsia"/>
        </w:rPr>
        <w:t>っ</w:t>
      </w:r>
      <w:r>
        <w:t>た。純資産は、前期に比べ1,946億円増加し、2兆693億円とな</w:t>
      </w:r>
      <w:r>
        <w:rPr>
          <w:rFonts w:hint="eastAsia"/>
        </w:rPr>
        <w:t>っ</w:t>
      </w:r>
      <w:r>
        <w:t>た。</w:t>
      </w:r>
    </w:p>
    <w:p w14:paraId="7544035D" w14:textId="47686425" w:rsidR="001F2157" w:rsidRPr="001F2157" w:rsidRDefault="001F2157">
      <w:pPr>
        <w:rPr>
          <w:rFonts w:hint="eastAsia"/>
          <w:b/>
          <w:bCs/>
        </w:rPr>
      </w:pPr>
      <w:r w:rsidRPr="001F2157">
        <w:rPr>
          <w:rFonts w:hint="eastAsia"/>
          <w:b/>
          <w:bCs/>
        </w:rPr>
        <w:t>2</w:t>
      </w:r>
      <w:r w:rsidRPr="001F2157">
        <w:rPr>
          <w:b/>
          <w:bCs/>
        </w:rPr>
        <w:t>022</w:t>
      </w:r>
      <w:r w:rsidRPr="001F2157">
        <w:rPr>
          <w:rFonts w:hint="eastAsia"/>
          <w:b/>
          <w:bCs/>
        </w:rPr>
        <w:t>年から</w:t>
      </w:r>
      <w:r w:rsidRPr="001F2157">
        <w:rPr>
          <w:b/>
          <w:bCs/>
        </w:rPr>
        <w:t>2023</w:t>
      </w:r>
      <w:r w:rsidRPr="001F2157">
        <w:rPr>
          <w:rFonts w:hint="eastAsia"/>
          <w:b/>
          <w:bCs/>
        </w:rPr>
        <w:t>年</w:t>
      </w:r>
    </w:p>
    <w:p w14:paraId="7F72D710" w14:textId="1B0D09A5" w:rsidR="003E2791" w:rsidRDefault="003E2791">
      <w:r w:rsidRPr="003E2791">
        <w:rPr>
          <w:rFonts w:hint="eastAsia"/>
        </w:rPr>
        <w:lastRenderedPageBreak/>
        <w:t>総資産は、主に現金及び預金や有価証券などが増加したことにより、前期に比べ</w:t>
      </w:r>
      <w:r w:rsidRPr="003E2791">
        <w:t>1,918億円増加し、2兆8,542億円とな</w:t>
      </w:r>
      <w:r>
        <w:rPr>
          <w:rFonts w:hint="eastAsia"/>
        </w:rPr>
        <w:t>っ</w:t>
      </w:r>
      <w:r w:rsidRPr="003E2791">
        <w:t>た。負債は、主に前受金などが増加したものの、未払法人税等などが減少したことにより、前期に比べ52億円減少し、5,878億円と</w:t>
      </w:r>
      <w:r>
        <w:rPr>
          <w:rFonts w:hint="eastAsia"/>
        </w:rPr>
        <w:t>なっ</w:t>
      </w:r>
      <w:r w:rsidRPr="003E2791">
        <w:t>た。純資産は、前期に比べ1,971億円増加し、2兆2,664億円と</w:t>
      </w:r>
      <w:r>
        <w:rPr>
          <w:rFonts w:hint="eastAsia"/>
        </w:rPr>
        <w:t>なっ</w:t>
      </w:r>
      <w:r w:rsidRPr="003E2791">
        <w:t>た。</w:t>
      </w:r>
    </w:p>
    <w:p w14:paraId="786A328B" w14:textId="77777777" w:rsidR="001F2157" w:rsidRDefault="001F2157"/>
    <w:p w14:paraId="3ADEDA17" w14:textId="76ECC301" w:rsidR="001F2157" w:rsidRPr="00E92EDD" w:rsidRDefault="001F2157">
      <w:pPr>
        <w:rPr>
          <w:sz w:val="22"/>
        </w:rPr>
      </w:pPr>
      <w:r w:rsidRPr="00E92EDD">
        <w:rPr>
          <w:rFonts w:hint="eastAsia"/>
          <w:sz w:val="22"/>
        </w:rPr>
        <w:t>３キャッシュフローの状況</w:t>
      </w:r>
    </w:p>
    <w:p w14:paraId="29F8705F" w14:textId="5676F83E" w:rsidR="00634E5B" w:rsidRDefault="00634E5B" w:rsidP="00452BCB">
      <w:pPr>
        <w:jc w:val="center"/>
      </w:pPr>
      <w:r>
        <w:rPr>
          <w:rFonts w:hint="eastAsia"/>
          <w:noProof/>
        </w:rPr>
        <w:drawing>
          <wp:inline distT="0" distB="0" distL="0" distR="0" wp14:anchorId="2D1E46DB" wp14:editId="7D90FB59">
            <wp:extent cx="4614896" cy="1671650"/>
            <wp:effectExtent l="0" t="0" r="0" b="0"/>
            <wp:docPr id="847931098"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1098" name="図 3" descr="テーブル&#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4614896" cy="1671650"/>
                    </a:xfrm>
                    <a:prstGeom prst="rect">
                      <a:avLst/>
                    </a:prstGeom>
                  </pic:spPr>
                </pic:pic>
              </a:graphicData>
            </a:graphic>
          </wp:inline>
        </w:drawing>
      </w:r>
    </w:p>
    <w:p w14:paraId="1B4DDFF7" w14:textId="1B0C6A37" w:rsidR="00452BCB" w:rsidRDefault="00452BCB" w:rsidP="00452BCB">
      <w:pPr>
        <w:jc w:val="center"/>
        <w:rPr>
          <w:rFonts w:hint="eastAsia"/>
        </w:rPr>
      </w:pPr>
      <w:r>
        <w:rPr>
          <w:rFonts w:hint="eastAsia"/>
        </w:rPr>
        <w:t>図3　キャッシュフロー状況</w:t>
      </w:r>
    </w:p>
    <w:p w14:paraId="0CF62394" w14:textId="0ECCD117" w:rsidR="001F2157" w:rsidRPr="001F2157" w:rsidRDefault="001F2157">
      <w:pPr>
        <w:rPr>
          <w:b/>
          <w:bCs/>
        </w:rPr>
      </w:pPr>
      <w:r w:rsidRPr="001F2157">
        <w:rPr>
          <w:rFonts w:hint="eastAsia"/>
          <w:b/>
          <w:bCs/>
        </w:rPr>
        <w:t>2</w:t>
      </w:r>
      <w:r w:rsidRPr="001F2157">
        <w:rPr>
          <w:b/>
          <w:bCs/>
        </w:rPr>
        <w:t>021/3</w:t>
      </w:r>
      <w:r w:rsidRPr="001F2157">
        <w:rPr>
          <w:rFonts w:hint="eastAsia"/>
          <w:b/>
          <w:bCs/>
        </w:rPr>
        <w:t>期</w:t>
      </w:r>
    </w:p>
    <w:p w14:paraId="488C949E" w14:textId="04364FB4" w:rsidR="001F2157" w:rsidRDefault="001F2157" w:rsidP="001F2157">
      <w:r>
        <w:rPr>
          <w:rFonts w:hint="eastAsia"/>
        </w:rPr>
        <w:t>当期における現金及び現金同等物（以下、「資金」という。）は、前期末から</w:t>
      </w:r>
      <w:r>
        <w:t>3,106億円増加</w:t>
      </w:r>
      <w:r>
        <w:rPr>
          <w:rFonts w:hint="eastAsia"/>
        </w:rPr>
        <w:t>し、</w:t>
      </w:r>
      <w:r>
        <w:t>9,320億円と</w:t>
      </w:r>
      <w:r>
        <w:rPr>
          <w:rFonts w:hint="eastAsia"/>
        </w:rPr>
        <w:t>なっ</w:t>
      </w:r>
      <w:r>
        <w:t>た。各キャッシュ・フローの増減状況とその要因は次のとおりで</w:t>
      </w:r>
      <w:r>
        <w:rPr>
          <w:rFonts w:hint="eastAsia"/>
        </w:rPr>
        <w:t>ある</w:t>
      </w:r>
      <w:r>
        <w:t>。</w:t>
      </w:r>
    </w:p>
    <w:p w14:paraId="542E556D" w14:textId="77777777" w:rsidR="001F2157" w:rsidRDefault="001F2157" w:rsidP="001F2157">
      <w:r>
        <w:t>[営業活動によるキャッシュ・フロー]</w:t>
      </w:r>
    </w:p>
    <w:p w14:paraId="04A4E9E7" w14:textId="34845927" w:rsidR="001F2157" w:rsidRDefault="001F2157" w:rsidP="001F2157">
      <w:r>
        <w:rPr>
          <w:rFonts w:hint="eastAsia"/>
        </w:rPr>
        <w:t>営業活動による資金は、税金等調整前当期純利益</w:t>
      </w:r>
      <w:r>
        <w:t>6,813億円に対して、法人税等の支払いなどの減少要因があ</w:t>
      </w:r>
      <w:r>
        <w:rPr>
          <w:rFonts w:hint="eastAsia"/>
        </w:rPr>
        <w:t>った</w:t>
      </w:r>
      <w:r>
        <w:rPr>
          <w:rFonts w:hint="eastAsia"/>
        </w:rPr>
        <w:t>が、仕入債務の増加などの増加要因により、</w:t>
      </w:r>
      <w:r>
        <w:t>6,121億円の増加とな</w:t>
      </w:r>
      <w:r>
        <w:rPr>
          <w:rFonts w:hint="eastAsia"/>
        </w:rPr>
        <w:t>っ</w:t>
      </w:r>
      <w:r>
        <w:t>た。</w:t>
      </w:r>
    </w:p>
    <w:p w14:paraId="45ADF75E" w14:textId="77777777" w:rsidR="001F2157" w:rsidRDefault="001F2157" w:rsidP="001F2157">
      <w:r>
        <w:t>[投資活動によるキャッシュ・フロー]</w:t>
      </w:r>
    </w:p>
    <w:p w14:paraId="6241F3C0" w14:textId="73B3D583" w:rsidR="001F2157" w:rsidRDefault="001F2157" w:rsidP="001F2157">
      <w:r>
        <w:rPr>
          <w:rFonts w:hint="eastAsia"/>
        </w:rPr>
        <w:t>投資活動による資金は、定期預金の払戻や有価証券及び投資有価証券の売却及び償還による収入が、定期預金の預入や有価証券及び投資有価証券の取得による支出を下回ったことなどにより、</w:t>
      </w:r>
      <w:r>
        <w:t>1,365億円の減少</w:t>
      </w:r>
    </w:p>
    <w:p w14:paraId="17310636" w14:textId="5310A84E" w:rsidR="001F2157" w:rsidRDefault="001F2157" w:rsidP="001F2157">
      <w:r>
        <w:t>とな</w:t>
      </w:r>
      <w:r>
        <w:rPr>
          <w:rFonts w:hint="eastAsia"/>
        </w:rPr>
        <w:t>った</w:t>
      </w:r>
      <w:r>
        <w:t>。</w:t>
      </w:r>
    </w:p>
    <w:p w14:paraId="4EC809F4" w14:textId="77777777" w:rsidR="001F2157" w:rsidRDefault="001F2157" w:rsidP="001F2157">
      <w:r>
        <w:t>[財務活動によるキャッシュ・フロー]</w:t>
      </w:r>
    </w:p>
    <w:p w14:paraId="1882F41E" w14:textId="3DEE01CC" w:rsidR="001F2157" w:rsidRDefault="001F2157" w:rsidP="001F2157">
      <w:pPr>
        <w:rPr>
          <w:rFonts w:hint="eastAsia"/>
        </w:rPr>
      </w:pPr>
      <w:r>
        <w:rPr>
          <w:rFonts w:hint="eastAsia"/>
        </w:rPr>
        <w:t>財務活動による資金は、主に配当金の支払いによる支出により</w:t>
      </w:r>
      <w:r>
        <w:t>1,949億円の減少</w:t>
      </w:r>
      <w:r>
        <w:rPr>
          <w:rFonts w:hint="eastAsia"/>
        </w:rPr>
        <w:t>とな</w:t>
      </w:r>
      <w:r>
        <w:rPr>
          <w:rFonts w:hint="eastAsia"/>
        </w:rPr>
        <w:t>った</w:t>
      </w:r>
      <w:r>
        <w:rPr>
          <w:rFonts w:hint="eastAsia"/>
        </w:rPr>
        <w:t>。</w:t>
      </w:r>
    </w:p>
    <w:p w14:paraId="5EB0DEF2" w14:textId="54FF75B0" w:rsidR="001F2157" w:rsidRDefault="001F2157" w:rsidP="001F2157">
      <w:pPr>
        <w:rPr>
          <w:b/>
          <w:bCs/>
        </w:rPr>
      </w:pPr>
      <w:r w:rsidRPr="001F2157">
        <w:rPr>
          <w:rFonts w:hint="eastAsia"/>
          <w:b/>
          <w:bCs/>
        </w:rPr>
        <w:t>2</w:t>
      </w:r>
      <w:r w:rsidRPr="001F2157">
        <w:rPr>
          <w:b/>
          <w:bCs/>
        </w:rPr>
        <w:t>02</w:t>
      </w:r>
      <w:r w:rsidRPr="001F2157">
        <w:rPr>
          <w:b/>
          <w:bCs/>
        </w:rPr>
        <w:t>2</w:t>
      </w:r>
      <w:r w:rsidRPr="001F2157">
        <w:rPr>
          <w:b/>
          <w:bCs/>
        </w:rPr>
        <w:t>/3</w:t>
      </w:r>
      <w:r w:rsidRPr="001F2157">
        <w:rPr>
          <w:rFonts w:hint="eastAsia"/>
          <w:b/>
          <w:bCs/>
        </w:rPr>
        <w:t>期</w:t>
      </w:r>
    </w:p>
    <w:p w14:paraId="5D692FC4" w14:textId="77777777" w:rsidR="001F2157" w:rsidRDefault="001F2157" w:rsidP="001F2157">
      <w:r>
        <w:t>当期における</w:t>
      </w:r>
      <w:r>
        <w:rPr>
          <w:rFonts w:hint="eastAsia"/>
        </w:rPr>
        <w:t>資金</w:t>
      </w:r>
      <w:r>
        <w:t>は、前期末から906億円増加し、1兆227億円となりました。各キャッシュ・フローの増減状況とその要因は次のとおりで</w:t>
      </w:r>
      <w:r>
        <w:rPr>
          <w:rFonts w:hint="eastAsia"/>
        </w:rPr>
        <w:t>ある</w:t>
      </w:r>
      <w:r>
        <w:t>。</w:t>
      </w:r>
    </w:p>
    <w:p w14:paraId="3048FC05" w14:textId="77777777" w:rsidR="001F2157" w:rsidRDefault="001F2157" w:rsidP="001F2157">
      <w:r>
        <w:t xml:space="preserve"> [営業活動によるキャッシュ・フロー]</w:t>
      </w:r>
    </w:p>
    <w:p w14:paraId="37C03027" w14:textId="63041FE8" w:rsidR="001F2157" w:rsidRDefault="001F2157" w:rsidP="001F2157">
      <w:r>
        <w:t xml:space="preserve"> 営業活動による資金は、税金等調整前当期純利益6,743億円に対して、主に法人税等の支</w:t>
      </w:r>
      <w:r>
        <w:lastRenderedPageBreak/>
        <w:t>払いや棚卸資産の増加などの減少要因があ</w:t>
      </w:r>
      <w:r>
        <w:rPr>
          <w:rFonts w:hint="eastAsia"/>
        </w:rPr>
        <w:t>った</w:t>
      </w:r>
      <w:r>
        <w:t>が、仕入債務の増加などの増加要因により、2,896億円の増加とな</w:t>
      </w:r>
      <w:r>
        <w:rPr>
          <w:rFonts w:hint="eastAsia"/>
        </w:rPr>
        <w:t>っ</w:t>
      </w:r>
      <w:r>
        <w:t xml:space="preserve">た。 </w:t>
      </w:r>
    </w:p>
    <w:p w14:paraId="16DEB559" w14:textId="77777777" w:rsidR="001F2157" w:rsidRDefault="001F2157" w:rsidP="001F2157">
      <w:r>
        <w:t xml:space="preserve">[投資活動によるキャッシュ・フロー] </w:t>
      </w:r>
    </w:p>
    <w:p w14:paraId="3B2F677C" w14:textId="3C704F60" w:rsidR="001F2157" w:rsidRDefault="001F2157" w:rsidP="001F2157">
      <w:r>
        <w:t>投資活動による資金は、定期預金の払戻や有価証券及び投資有価証券の売却及び償還による収入が、定期預金の 預入や有価証券及び投資有価証券の取得による支出を上回ったことなどにより、936億円の増加と</w:t>
      </w:r>
      <w:r w:rsidR="0022163E">
        <w:rPr>
          <w:rFonts w:hint="eastAsia"/>
        </w:rPr>
        <w:t>なっ</w:t>
      </w:r>
      <w:r>
        <w:t>た。</w:t>
      </w:r>
    </w:p>
    <w:p w14:paraId="70EE6299" w14:textId="77777777" w:rsidR="001F2157" w:rsidRDefault="001F2157" w:rsidP="001F2157">
      <w:r>
        <w:t xml:space="preserve"> [財務活動によるキャッシュ・フロー]</w:t>
      </w:r>
    </w:p>
    <w:p w14:paraId="7015A4F3" w14:textId="583F6299" w:rsidR="001F2157" w:rsidRPr="001F2157" w:rsidRDefault="001F2157" w:rsidP="001F2157">
      <w:pPr>
        <w:rPr>
          <w:rFonts w:hint="eastAsia"/>
        </w:rPr>
      </w:pPr>
      <w:r>
        <w:t xml:space="preserve"> 財務活動による資金は、主に配当金の支払いによる支出により3,370億円の減少と</w:t>
      </w:r>
      <w:r w:rsidR="0022163E">
        <w:rPr>
          <w:rFonts w:hint="eastAsia"/>
        </w:rPr>
        <w:t>なっ</w:t>
      </w:r>
      <w:r>
        <w:t>た。</w:t>
      </w:r>
    </w:p>
    <w:p w14:paraId="6E0C697E" w14:textId="198D3547" w:rsidR="0022163E" w:rsidRDefault="0022163E" w:rsidP="0022163E">
      <w:pPr>
        <w:rPr>
          <w:b/>
          <w:bCs/>
        </w:rPr>
      </w:pPr>
      <w:r w:rsidRPr="001F2157">
        <w:rPr>
          <w:rFonts w:hint="eastAsia"/>
          <w:b/>
          <w:bCs/>
        </w:rPr>
        <w:t>2</w:t>
      </w:r>
      <w:r w:rsidRPr="001F2157">
        <w:rPr>
          <w:b/>
          <w:bCs/>
        </w:rPr>
        <w:t>02</w:t>
      </w:r>
      <w:r>
        <w:rPr>
          <w:b/>
          <w:bCs/>
        </w:rPr>
        <w:t>3</w:t>
      </w:r>
      <w:r w:rsidRPr="001F2157">
        <w:rPr>
          <w:b/>
          <w:bCs/>
        </w:rPr>
        <w:t>/3</w:t>
      </w:r>
      <w:r w:rsidRPr="001F2157">
        <w:rPr>
          <w:rFonts w:hint="eastAsia"/>
          <w:b/>
          <w:bCs/>
        </w:rPr>
        <w:t>期</w:t>
      </w:r>
    </w:p>
    <w:p w14:paraId="1D8B3915" w14:textId="77777777" w:rsidR="0022163E" w:rsidRDefault="0022163E" w:rsidP="001F2157">
      <w:r w:rsidRPr="0022163E">
        <w:rPr>
          <w:rFonts w:hint="eastAsia"/>
        </w:rPr>
        <w:t>当期における</w:t>
      </w:r>
      <w:r>
        <w:rPr>
          <w:rFonts w:hint="eastAsia"/>
        </w:rPr>
        <w:t>資金</w:t>
      </w:r>
      <w:r w:rsidRPr="0022163E">
        <w:rPr>
          <w:rFonts w:hint="eastAsia"/>
        </w:rPr>
        <w:t>は、前期末から</w:t>
      </w:r>
      <w:r w:rsidRPr="0022163E">
        <w:t>1,718億円増加し、1兆1,945億円と</w:t>
      </w:r>
      <w:r>
        <w:rPr>
          <w:rFonts w:hint="eastAsia"/>
        </w:rPr>
        <w:t>なっ</w:t>
      </w:r>
      <w:r w:rsidRPr="0022163E">
        <w:t>た。各キャッシュ・フローの増減状況とその要因は次のとおりで</w:t>
      </w:r>
      <w:r>
        <w:rPr>
          <w:rFonts w:hint="eastAsia"/>
        </w:rPr>
        <w:t>ある</w:t>
      </w:r>
      <w:r w:rsidRPr="0022163E">
        <w:t>。</w:t>
      </w:r>
    </w:p>
    <w:p w14:paraId="513E9C00" w14:textId="77777777" w:rsidR="0022163E" w:rsidRDefault="0022163E" w:rsidP="001F2157">
      <w:r w:rsidRPr="0022163E">
        <w:t>[営業活動によるキャッシュ・フロー]</w:t>
      </w:r>
    </w:p>
    <w:p w14:paraId="532DC022" w14:textId="51C5F432" w:rsidR="0022163E" w:rsidRDefault="0022163E" w:rsidP="001F2157">
      <w:r w:rsidRPr="0022163E">
        <w:t>営業活動による資金は、税金等調整前当期純利益6,007億円に対して、主に法人税等の支払いや円安による為替の影響、棚卸資産の増加などの減少要因があ</w:t>
      </w:r>
      <w:r>
        <w:rPr>
          <w:rFonts w:hint="eastAsia"/>
        </w:rPr>
        <w:t>った</w:t>
      </w:r>
      <w:r w:rsidRPr="0022163E">
        <w:t>が、売上債権の減少などの増加要因により、3,228億円の増加と</w:t>
      </w:r>
      <w:r>
        <w:rPr>
          <w:rFonts w:hint="eastAsia"/>
        </w:rPr>
        <w:t>なっ</w:t>
      </w:r>
      <w:r w:rsidRPr="0022163E">
        <w:t>た。</w:t>
      </w:r>
    </w:p>
    <w:p w14:paraId="3DD58C94" w14:textId="447EE541" w:rsidR="0022163E" w:rsidRDefault="0022163E" w:rsidP="001F2157">
      <w:r w:rsidRPr="0022163E">
        <w:t>[投</w:t>
      </w:r>
      <w:r w:rsidRPr="0022163E">
        <w:rPr>
          <w:rFonts w:hint="eastAsia"/>
        </w:rPr>
        <w:t>資活動によるキャッシュ・フロー</w:t>
      </w:r>
      <w:r w:rsidRPr="0022163E">
        <w:t>]</w:t>
      </w:r>
    </w:p>
    <w:p w14:paraId="37B1BA79" w14:textId="77777777" w:rsidR="0022163E" w:rsidRDefault="0022163E" w:rsidP="001F2157">
      <w:r w:rsidRPr="0022163E">
        <w:t>投資活動による資金は、定期預金の払戻や有価証券及び投資有価証券の売却及び償還による収入が、定期預金の預入や有価証券及び投資有価証券の取得による支出を上回ったことなどにより、1,115億円の増加とな</w:t>
      </w:r>
      <w:r>
        <w:rPr>
          <w:rFonts w:hint="eastAsia"/>
        </w:rPr>
        <w:t>っ</w:t>
      </w:r>
      <w:r w:rsidRPr="0022163E">
        <w:t>た。</w:t>
      </w:r>
    </w:p>
    <w:p w14:paraId="418C4AD2" w14:textId="77777777" w:rsidR="0022163E" w:rsidRDefault="0022163E" w:rsidP="001F2157">
      <w:r w:rsidRPr="0022163E">
        <w:t>[財務活動によるキャッシュ・フロー]</w:t>
      </w:r>
    </w:p>
    <w:p w14:paraId="18277BEC" w14:textId="7927A2FA" w:rsidR="001F2157" w:rsidRDefault="0022163E" w:rsidP="001F2157">
      <w:r w:rsidRPr="0022163E">
        <w:t>財務活動による資金は、主に配当金の支払いや自己株式の取得による支出により2,909億円の減少とな</w:t>
      </w:r>
      <w:r>
        <w:rPr>
          <w:rFonts w:hint="eastAsia"/>
        </w:rPr>
        <w:t>っ</w:t>
      </w:r>
      <w:r w:rsidRPr="0022163E">
        <w:t>た。</w:t>
      </w:r>
    </w:p>
    <w:p w14:paraId="1A11BCDC" w14:textId="77777777" w:rsidR="00210888" w:rsidRDefault="00210888" w:rsidP="001F2157">
      <w:pPr>
        <w:rPr>
          <w:rFonts w:hint="eastAsia"/>
        </w:rPr>
      </w:pPr>
    </w:p>
    <w:p w14:paraId="4F9ECA07" w14:textId="0C3F8769" w:rsidR="0021363F" w:rsidRPr="00E92EDD" w:rsidRDefault="008A4A25" w:rsidP="001F2157">
      <w:pPr>
        <w:rPr>
          <w:rFonts w:hint="eastAsia"/>
          <w:sz w:val="22"/>
        </w:rPr>
      </w:pPr>
      <w:r w:rsidRPr="00E92EDD">
        <w:rPr>
          <w:rFonts w:hint="eastAsia"/>
          <w:sz w:val="22"/>
        </w:rPr>
        <w:t>４</w:t>
      </w:r>
      <w:r w:rsidR="00210888" w:rsidRPr="00E92EDD">
        <w:rPr>
          <w:rFonts w:hint="eastAsia"/>
          <w:sz w:val="22"/>
        </w:rPr>
        <w:t>財務比率</w:t>
      </w:r>
    </w:p>
    <w:p w14:paraId="08E63A1D" w14:textId="17A5D310" w:rsidR="00821B45" w:rsidRDefault="00821B45" w:rsidP="00E92EDD">
      <w:pPr>
        <w:jc w:val="center"/>
      </w:pPr>
      <w:r>
        <w:rPr>
          <w:rFonts w:hint="eastAsia"/>
          <w:noProof/>
        </w:rPr>
        <w:drawing>
          <wp:inline distT="0" distB="0" distL="0" distR="0" wp14:anchorId="5DF37AA6" wp14:editId="1FC1B509">
            <wp:extent cx="2905146" cy="1271597"/>
            <wp:effectExtent l="0" t="0" r="0" b="0"/>
            <wp:docPr id="31256665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66656" name="図 312566656"/>
                    <pic:cNvPicPr/>
                  </pic:nvPicPr>
                  <pic:blipFill>
                    <a:blip r:embed="rId7">
                      <a:extLst>
                        <a:ext uri="{28A0092B-C50C-407E-A947-70E740481C1C}">
                          <a14:useLocalDpi xmlns:a14="http://schemas.microsoft.com/office/drawing/2010/main" val="0"/>
                        </a:ext>
                      </a:extLst>
                    </a:blip>
                    <a:stretch>
                      <a:fillRect/>
                    </a:stretch>
                  </pic:blipFill>
                  <pic:spPr>
                    <a:xfrm>
                      <a:off x="0" y="0"/>
                      <a:ext cx="2905146" cy="1271597"/>
                    </a:xfrm>
                    <a:prstGeom prst="rect">
                      <a:avLst/>
                    </a:prstGeom>
                  </pic:spPr>
                </pic:pic>
              </a:graphicData>
            </a:graphic>
          </wp:inline>
        </w:drawing>
      </w:r>
    </w:p>
    <w:p w14:paraId="677C4A28" w14:textId="4CDA8F78" w:rsidR="00821B45" w:rsidRDefault="0021363F" w:rsidP="00E92EDD">
      <w:pPr>
        <w:jc w:val="center"/>
      </w:pPr>
      <w:r>
        <w:rPr>
          <w:rFonts w:hint="eastAsia"/>
        </w:rPr>
        <w:t>図</w:t>
      </w:r>
      <w:r w:rsidR="00E92EDD">
        <w:rPr>
          <w:rFonts w:hint="eastAsia"/>
        </w:rPr>
        <w:t>4</w:t>
      </w:r>
      <w:r>
        <w:rPr>
          <w:rFonts w:hint="eastAsia"/>
        </w:rPr>
        <w:t xml:space="preserve">　2</w:t>
      </w:r>
      <w:r>
        <w:t>023</w:t>
      </w:r>
      <w:r>
        <w:rPr>
          <w:rFonts w:hint="eastAsia"/>
        </w:rPr>
        <w:t>年2社の財務比率の比較</w:t>
      </w:r>
    </w:p>
    <w:p w14:paraId="68CA0B17" w14:textId="77777777" w:rsidR="0021363F" w:rsidRDefault="0021363F" w:rsidP="001F2157">
      <w:pPr>
        <w:rPr>
          <w:rFonts w:hint="eastAsia"/>
        </w:rPr>
      </w:pPr>
    </w:p>
    <w:p w14:paraId="078FEBDF" w14:textId="2CFE90C5" w:rsidR="0082599F" w:rsidRDefault="0082599F" w:rsidP="0082599F">
      <w:pPr>
        <w:rPr>
          <w:rFonts w:hint="eastAsia"/>
        </w:rPr>
      </w:pPr>
      <w:r>
        <w:rPr>
          <w:rFonts w:hint="eastAsia"/>
        </w:rPr>
        <w:t>流動比率</w:t>
      </w:r>
    </w:p>
    <w:p w14:paraId="5B70B7F3" w14:textId="484622EA" w:rsidR="0082599F" w:rsidRDefault="0082599F" w:rsidP="0082599F">
      <w:r>
        <w:rPr>
          <w:rFonts w:hint="eastAsia"/>
        </w:rPr>
        <w:t>任天堂の流動比率は</w:t>
      </w:r>
      <w:r>
        <w:t>383.9%と、十分な安全性を備えて</w:t>
      </w:r>
      <w:r w:rsidR="00CA6D72">
        <w:rPr>
          <w:rFonts w:hint="eastAsia"/>
        </w:rPr>
        <w:t>いる</w:t>
      </w:r>
      <w:r>
        <w:t>。</w:t>
      </w:r>
      <w:r w:rsidR="008B5C3D" w:rsidRPr="008B5C3D">
        <w:rPr>
          <w:rFonts w:hint="eastAsia"/>
        </w:rPr>
        <w:t>これは、任天堂の現金や売掛金などの短期資産が、短期負債を十分に上回っているためで</w:t>
      </w:r>
      <w:r w:rsidR="008B5C3D">
        <w:rPr>
          <w:rFonts w:hint="eastAsia"/>
        </w:rPr>
        <w:t>ある</w:t>
      </w:r>
      <w:r w:rsidR="008B5C3D" w:rsidRPr="008B5C3D">
        <w:rPr>
          <w:rFonts w:hint="eastAsia"/>
        </w:rPr>
        <w:t>。</w:t>
      </w:r>
      <w:r>
        <w:t>一方、ガンホーの流</w:t>
      </w:r>
      <w:r>
        <w:lastRenderedPageBreak/>
        <w:t>動比率は244.6%と、任天堂に比べるとやや低い水準にあります。</w:t>
      </w:r>
      <w:r w:rsidR="00E531B0" w:rsidRPr="00E531B0">
        <w:rPr>
          <w:rFonts w:hint="eastAsia"/>
        </w:rPr>
        <w:t>これは、ガンホーの短期資産が、任天堂に比べると少ない</w:t>
      </w:r>
      <w:r w:rsidR="00E531B0">
        <w:rPr>
          <w:rFonts w:hint="eastAsia"/>
        </w:rPr>
        <w:t>ことが要因としてあげられる</w:t>
      </w:r>
      <w:r w:rsidR="00E531B0" w:rsidRPr="00E531B0">
        <w:rPr>
          <w:rFonts w:hint="eastAsia"/>
        </w:rPr>
        <w:t>。</w:t>
      </w:r>
    </w:p>
    <w:p w14:paraId="5C8D326A" w14:textId="77777777" w:rsidR="00CA6D72" w:rsidRDefault="00CA6D72" w:rsidP="0082599F">
      <w:pPr>
        <w:rPr>
          <w:rFonts w:hint="eastAsia"/>
        </w:rPr>
      </w:pPr>
    </w:p>
    <w:p w14:paraId="0E4DBD8C" w14:textId="77777777" w:rsidR="0082599F" w:rsidRDefault="0082599F" w:rsidP="0082599F">
      <w:r>
        <w:rPr>
          <w:rFonts w:hint="eastAsia"/>
        </w:rPr>
        <w:t>固定比率</w:t>
      </w:r>
    </w:p>
    <w:p w14:paraId="4D40BD71" w14:textId="0A2A6915" w:rsidR="0082599F" w:rsidRDefault="0082599F" w:rsidP="0082599F">
      <w:r>
        <w:rPr>
          <w:rFonts w:hint="eastAsia"/>
        </w:rPr>
        <w:t>任天堂の固定比率は</w:t>
      </w:r>
      <w:r>
        <w:t>22.8%と、借入に依存していない</w:t>
      </w:r>
      <w:r w:rsidR="00DD18F4">
        <w:rPr>
          <w:rFonts w:hint="eastAsia"/>
        </w:rPr>
        <w:t>とわかる</w:t>
      </w:r>
      <w:r>
        <w:t>。</w:t>
      </w:r>
      <w:r w:rsidR="00C9123D" w:rsidRPr="00C9123D">
        <w:rPr>
          <w:rFonts w:hint="eastAsia"/>
        </w:rPr>
        <w:t>これは、任天堂の固定資産が、自己資本の半分程度</w:t>
      </w:r>
      <w:r w:rsidR="00C9123D">
        <w:rPr>
          <w:rFonts w:hint="eastAsia"/>
        </w:rPr>
        <w:t>のためである</w:t>
      </w:r>
      <w:r w:rsidR="00C9123D" w:rsidRPr="00C9123D">
        <w:rPr>
          <w:rFonts w:hint="eastAsia"/>
        </w:rPr>
        <w:t>。</w:t>
      </w:r>
      <w:r>
        <w:t>一方、ガンホーの固定比率は50.4%と、任天堂に比べると借入に依存していると言え</w:t>
      </w:r>
      <w:r w:rsidR="00DD18F4">
        <w:rPr>
          <w:rFonts w:hint="eastAsia"/>
        </w:rPr>
        <w:t>る</w:t>
      </w:r>
      <w:r>
        <w:t>。</w:t>
      </w:r>
    </w:p>
    <w:p w14:paraId="47B06EBE" w14:textId="77777777" w:rsidR="0082599F" w:rsidRDefault="0082599F" w:rsidP="0082599F"/>
    <w:p w14:paraId="56954EEE" w14:textId="77777777" w:rsidR="0082599F" w:rsidRDefault="0082599F" w:rsidP="0082599F">
      <w:r>
        <w:rPr>
          <w:rFonts w:hint="eastAsia"/>
        </w:rPr>
        <w:t>自己資本比率</w:t>
      </w:r>
    </w:p>
    <w:p w14:paraId="3B89DB03" w14:textId="06BDAE97" w:rsidR="0082599F" w:rsidRDefault="0082599F" w:rsidP="0082599F">
      <w:r>
        <w:rPr>
          <w:rFonts w:hint="eastAsia"/>
        </w:rPr>
        <w:t>任天堂の自己資本比率は</w:t>
      </w:r>
      <w:r>
        <w:t>76.6%と、非常に高い水準にあ</w:t>
      </w:r>
      <w:r w:rsidR="00DD18F4">
        <w:rPr>
          <w:rFonts w:hint="eastAsia"/>
        </w:rPr>
        <w:t>る</w:t>
      </w:r>
      <w:r>
        <w:t>。</w:t>
      </w:r>
      <w:r w:rsidR="0084378F" w:rsidRPr="0084378F">
        <w:rPr>
          <w:rFonts w:hint="eastAsia"/>
        </w:rPr>
        <w:t>これは、任天堂の財務基盤が</w:t>
      </w:r>
      <w:r w:rsidR="008C2006">
        <w:rPr>
          <w:rFonts w:hint="eastAsia"/>
        </w:rPr>
        <w:t>とても固い</w:t>
      </w:r>
      <w:r w:rsidR="0084378F" w:rsidRPr="0084378F">
        <w:rPr>
          <w:rFonts w:hint="eastAsia"/>
        </w:rPr>
        <w:t>ことを示してい</w:t>
      </w:r>
      <w:r w:rsidR="008C2006">
        <w:rPr>
          <w:rFonts w:hint="eastAsia"/>
        </w:rPr>
        <w:t>る</w:t>
      </w:r>
      <w:r w:rsidR="0084378F" w:rsidRPr="0084378F">
        <w:rPr>
          <w:rFonts w:hint="eastAsia"/>
        </w:rPr>
        <w:t>。</w:t>
      </w:r>
      <w:r>
        <w:t>一方、ガンホーの自己資本比率は32.9%と、任天堂に比べると低い水準にあ</w:t>
      </w:r>
      <w:r w:rsidR="00DD18F4">
        <w:rPr>
          <w:rFonts w:hint="eastAsia"/>
        </w:rPr>
        <w:t>る</w:t>
      </w:r>
      <w:r>
        <w:t>。</w:t>
      </w:r>
      <w:r w:rsidR="006701BC" w:rsidRPr="006701BC">
        <w:rPr>
          <w:rFonts w:hint="eastAsia"/>
        </w:rPr>
        <w:t>これは、ガンホーが外部からの借入に依存しているためで</w:t>
      </w:r>
      <w:r w:rsidR="006701BC">
        <w:rPr>
          <w:rFonts w:hint="eastAsia"/>
        </w:rPr>
        <w:t>ある</w:t>
      </w:r>
      <w:r w:rsidR="006701BC" w:rsidRPr="006701BC">
        <w:rPr>
          <w:rFonts w:hint="eastAsia"/>
        </w:rPr>
        <w:t>。</w:t>
      </w:r>
    </w:p>
    <w:p w14:paraId="32A3E106" w14:textId="77777777" w:rsidR="0082599F" w:rsidRDefault="0082599F" w:rsidP="0082599F"/>
    <w:p w14:paraId="6D10D317" w14:textId="50308C77" w:rsidR="0082599F" w:rsidRDefault="0082599F" w:rsidP="0082599F">
      <w:pPr>
        <w:rPr>
          <w:rFonts w:hint="eastAsia"/>
        </w:rPr>
      </w:pPr>
      <w:r>
        <w:t>ROA</w:t>
      </w:r>
    </w:p>
    <w:p w14:paraId="397F1DFB" w14:textId="23ECA90C" w:rsidR="0082599F" w:rsidRDefault="0082599F" w:rsidP="0082599F">
      <w:r>
        <w:rPr>
          <w:rFonts w:hint="eastAsia"/>
        </w:rPr>
        <w:t>任天堂の</w:t>
      </w:r>
      <w:r>
        <w:t>ROAは19.6%と、高い水準にあ</w:t>
      </w:r>
      <w:r w:rsidR="00E358DF">
        <w:rPr>
          <w:rFonts w:hint="eastAsia"/>
        </w:rPr>
        <w:t>る</w:t>
      </w:r>
      <w:r>
        <w:t>。</w:t>
      </w:r>
      <w:r w:rsidR="001148D9" w:rsidRPr="001148D9">
        <w:rPr>
          <w:rFonts w:hint="eastAsia"/>
        </w:rPr>
        <w:t>これは、任天堂が資産を効率的に活用して、高い収益を上げていることを示してい</w:t>
      </w:r>
      <w:r w:rsidR="001148D9">
        <w:rPr>
          <w:rFonts w:hint="eastAsia"/>
        </w:rPr>
        <w:t>る</w:t>
      </w:r>
      <w:r w:rsidR="001148D9" w:rsidRPr="001148D9">
        <w:rPr>
          <w:rFonts w:hint="eastAsia"/>
        </w:rPr>
        <w:t>。</w:t>
      </w:r>
      <w:r>
        <w:t>一方、ガンホーのROAは12.1%と、任天堂に比べると低い水準にあ</w:t>
      </w:r>
      <w:r w:rsidR="00E358DF">
        <w:rPr>
          <w:rFonts w:hint="eastAsia"/>
        </w:rPr>
        <w:t>る</w:t>
      </w:r>
      <w:r>
        <w:t>。</w:t>
      </w:r>
    </w:p>
    <w:p w14:paraId="5CADED24" w14:textId="77777777" w:rsidR="0082599F" w:rsidRDefault="0082599F" w:rsidP="0082599F"/>
    <w:p w14:paraId="59D0BC9C" w14:textId="25013665" w:rsidR="0082599F" w:rsidRDefault="0082599F" w:rsidP="0082599F">
      <w:r>
        <w:t>ROE</w:t>
      </w:r>
    </w:p>
    <w:p w14:paraId="145CF01C" w14:textId="390226FF" w:rsidR="00210888" w:rsidRPr="0082599F" w:rsidRDefault="0082599F" w:rsidP="0082599F">
      <w:pPr>
        <w:rPr>
          <w:rFonts w:hint="eastAsia"/>
        </w:rPr>
      </w:pPr>
      <w:r>
        <w:rPr>
          <w:rFonts w:hint="eastAsia"/>
        </w:rPr>
        <w:t>任天堂の</w:t>
      </w:r>
      <w:r>
        <w:t>ROEは25.6%と、非常に高い水準にあ</w:t>
      </w:r>
      <w:r w:rsidR="00E92EDD">
        <w:rPr>
          <w:rFonts w:hint="eastAsia"/>
        </w:rPr>
        <w:t>る</w:t>
      </w:r>
      <w:r>
        <w:t>。</w:t>
      </w:r>
      <w:r w:rsidR="0032454D" w:rsidRPr="0032454D">
        <w:rPr>
          <w:rFonts w:hint="eastAsia"/>
        </w:rPr>
        <w:t>これは、任天堂が自己資本を効率的に活用して、高い収益を上げていることを示して</w:t>
      </w:r>
      <w:r w:rsidR="00821B45">
        <w:rPr>
          <w:rFonts w:hint="eastAsia"/>
        </w:rPr>
        <w:t>いる</w:t>
      </w:r>
      <w:r w:rsidR="0032454D" w:rsidRPr="0032454D">
        <w:rPr>
          <w:rFonts w:hint="eastAsia"/>
        </w:rPr>
        <w:t>。</w:t>
      </w:r>
      <w:r>
        <w:t>一方、ガンホーのROEは16.1%と、任天堂に比べると低い水準にあ</w:t>
      </w:r>
      <w:r w:rsidR="00E92EDD">
        <w:rPr>
          <w:rFonts w:hint="eastAsia"/>
        </w:rPr>
        <w:t>る</w:t>
      </w:r>
      <w:r>
        <w:t>。</w:t>
      </w:r>
    </w:p>
    <w:sectPr w:rsidR="00210888" w:rsidRPr="008259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6E1A"/>
    <w:rsid w:val="001148D9"/>
    <w:rsid w:val="001F2157"/>
    <w:rsid w:val="00210888"/>
    <w:rsid w:val="0021363F"/>
    <w:rsid w:val="0022163E"/>
    <w:rsid w:val="0032454D"/>
    <w:rsid w:val="003E2791"/>
    <w:rsid w:val="00452BCB"/>
    <w:rsid w:val="00634E5B"/>
    <w:rsid w:val="006701BC"/>
    <w:rsid w:val="007E32B4"/>
    <w:rsid w:val="00821B45"/>
    <w:rsid w:val="0082599F"/>
    <w:rsid w:val="0084378F"/>
    <w:rsid w:val="008A4A25"/>
    <w:rsid w:val="008B5C3D"/>
    <w:rsid w:val="008C2006"/>
    <w:rsid w:val="008C39C0"/>
    <w:rsid w:val="009C296D"/>
    <w:rsid w:val="00BB3094"/>
    <w:rsid w:val="00C16DB0"/>
    <w:rsid w:val="00C9123D"/>
    <w:rsid w:val="00CA6D72"/>
    <w:rsid w:val="00DD18F4"/>
    <w:rsid w:val="00E16E1A"/>
    <w:rsid w:val="00E358DF"/>
    <w:rsid w:val="00E531B0"/>
    <w:rsid w:val="00E92EDD"/>
    <w:rsid w:val="00F53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84CF84"/>
  <w15:chartTrackingRefBased/>
  <w15:docId w15:val="{AE9E33D9-5C93-43C2-BA95-05D1122D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27359">
      <w:bodyDiv w:val="1"/>
      <w:marLeft w:val="0"/>
      <w:marRight w:val="0"/>
      <w:marTop w:val="0"/>
      <w:marBottom w:val="0"/>
      <w:divBdr>
        <w:top w:val="none" w:sz="0" w:space="0" w:color="auto"/>
        <w:left w:val="none" w:sz="0" w:space="0" w:color="auto"/>
        <w:bottom w:val="none" w:sz="0" w:space="0" w:color="auto"/>
        <w:right w:val="none" w:sz="0" w:space="0" w:color="auto"/>
      </w:divBdr>
      <w:divsChild>
        <w:div w:id="1370378952">
          <w:marLeft w:val="0"/>
          <w:marRight w:val="0"/>
          <w:marTop w:val="0"/>
          <w:marBottom w:val="0"/>
          <w:divBdr>
            <w:top w:val="none" w:sz="0" w:space="0" w:color="auto"/>
            <w:left w:val="none" w:sz="0" w:space="0" w:color="auto"/>
            <w:bottom w:val="none" w:sz="0" w:space="0" w:color="auto"/>
            <w:right w:val="none" w:sz="0" w:space="0" w:color="auto"/>
          </w:divBdr>
          <w:divsChild>
            <w:div w:id="14425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494</Words>
  <Characters>2817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佳典 園山</dc:creator>
  <cp:keywords/>
  <dc:description/>
  <cp:lastModifiedBy>keisuke.719s@gmail.com</cp:lastModifiedBy>
  <cp:revision>24</cp:revision>
  <dcterms:created xsi:type="dcterms:W3CDTF">2023-11-30T08:08:00Z</dcterms:created>
  <dcterms:modified xsi:type="dcterms:W3CDTF">2023-11-30T11:49:00Z</dcterms:modified>
</cp:coreProperties>
</file>