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游ゴシック" w:cs="游ゴシック" w:eastAsia="游ゴシック" w:hAnsi="游ゴシック"/>
          <w:b/>
          <w:bCs/>
          <w:color w:val="0889C9"/>
          <w:sz w:val="22"/>
          <w:szCs w:val="22"/>
        </w:rPr>
        <w:t xml:space="preserve">株式会社カナリア</w:t>
      </w:r>
    </w:p>
    <w:p>
      <w:pPr>
        <w:spacing w:after="60"/>
      </w:pPr>
      <w:r>
        <w:rPr>
          <w:rFonts w:ascii="游ゴシック" w:cs="游ゴシック" w:eastAsia="游ゴシック" w:hAnsi="游ゴシック"/>
          <w:b/>
          <w:bCs/>
          <w:color w:val="0B3041"/>
          <w:sz w:val="36"/>
          <w:szCs w:val="36"/>
        </w:rPr>
        <w:t xml:space="preserve">ヒアリング項目一覧</w:t>
      </w:r>
    </w:p>
    <w:p>
      <w:pPr>
        <w:pBdr>
          <w:bottom w:val="single" w:color="0889C9" w:sz="14" w:space="6"/>
        </w:pBdr>
        <w:spacing w:after="240"/>
      </w:pPr>
      <w:r>
        <w:rPr>
          <w:rFonts w:ascii="游ゴシック" w:cs="游ゴシック" w:eastAsia="游ゴシック" w:hAnsi="游ゴシック"/>
          <w:color w:val="666666"/>
          <w:sz w:val="18"/>
          <w:szCs w:val="18"/>
        </w:rPr>
        <w:t xml:space="preserve">次回面談 想定質問リスト（2026年7月28日時点）　株式会社M&amp;A承継機構</w:t>
      </w:r>
    </w:p>
    <w:p>
      <w:pPr>
        <w:spacing w:after="20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前回面談（2026年7月）の内容を踏まえ、①企業概要書・評価書の記載を確定させるために必要な事項、②買手候補への提案時に質問が想定される事項を整理したものです。優先度は【高】＝トップ面談前に確定させたい事項、【中】＝基本合意までに確認したい事項としています。</w:t>
      </w:r>
    </w:p>
    <w:p>
      <w:pPr>
        <w:pBdr>
          <w:bottom w:val="single" w:color="0B3041" w:sz="10" w:space="4"/>
        </w:pBdr>
        <w:spacing w:after="140" w:before="320"/>
      </w:pPr>
      <w:r>
        <w:rPr>
          <w:rFonts w:ascii="游ゴシック" w:cs="游ゴシック" w:eastAsia="游ゴシック" w:hAnsi="游ゴシック"/>
          <w:b/>
          <w:bCs/>
          <w:color w:val="0B3041"/>
          <w:sz w:val="26"/>
          <w:szCs w:val="26"/>
        </w:rPr>
        <w:t xml:space="preserve">1. 会社分割スキーム（最優先）</w:t>
      </w:r>
    </w:p>
    <w:p>
      <w:pPr>
        <w:spacing w:after="90" w:before="200"/>
      </w:pPr>
      <w:r>
        <w:rPr>
          <w:rFonts w:ascii="游ゴシック" w:cs="游ゴシック" w:eastAsia="游ゴシック" w:hAnsi="游ゴシック"/>
          <w:b/>
          <w:bCs/>
          <w:color w:val="0889C9"/>
          <w:sz w:val="22"/>
          <w:szCs w:val="22"/>
        </w:rPr>
        <w:t xml:space="preserve">1-1. 分割の設計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【高】分割の形態は分割型（人的）分割か、分社型（物的）分割か。分社型の場合、新設会社株式の取扱い（現物配当等）をどうするか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【高】分割対象資産の確定 — 投資有価証券・保険積立金・車両運搬具のほかに対象とする資産・負債はあるか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【高】新設会社の商号・本店・株主構成・役員構成の想定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【高】分割期日の想定時期、および分割計画書の作成着手時期（現時点で未着手との認識）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【中】適格分割（簿価承継）の要件充足について、顧問税理士の見解は得られているか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【中】非適格となる場合、投資有価証券の含み損益に対する課税負担の試算はあるか</w:t>
      </w:r>
    </w:p>
    <w:p>
      <w:pPr>
        <w:spacing w:after="90" w:before="200"/>
      </w:pPr>
      <w:r>
        <w:rPr>
          <w:rFonts w:ascii="游ゴシック" w:cs="游ゴシック" w:eastAsia="游ゴシック" w:hAnsi="游ゴシック"/>
          <w:b/>
          <w:bCs/>
          <w:color w:val="0889C9"/>
          <w:sz w:val="22"/>
          <w:szCs w:val="22"/>
        </w:rPr>
        <w:t xml:space="preserve">1-2. 分割実行にあたっての障害の有無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【高】投資有価証券・保険積立金が借入金の担保に供されていないか。担保設定がある場合、金融機関の同意取得の見通し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【高】借入契約にチェンジオブコントロール条項・財務制限条項（純資産維持条項等）はないか。分割により純資産が約333百万円→約14百万円へ減少するため、抵触の有無は要確認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【高】保険契約の契約者変更が可能か（保険会社の承諾要否、解約返戻金の取扱い）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【中】債権者保護手続（官報公告・個別催告）の要否と想定スケジュール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【中】車両の名義変更・自動車保険の付替えの要否</w:t>
      </w:r>
    </w:p>
    <w:p>
      <w:pPr>
        <w:spacing w:after="140" w:before="40"/>
        <w:ind w:left="360"/>
      </w:pPr>
      <w:r>
        <w:rPr>
          <w:rFonts w:ascii="游ゴシック" w:cs="游ゴシック" w:eastAsia="游ゴシック" w:hAnsi="游ゴシック"/>
          <w:color w:val="666666"/>
          <w:sz w:val="17"/>
          <w:szCs w:val="17"/>
        </w:rPr>
        <w:t xml:space="preserve">※ 分割後の純資産水準は買手の与信判断・銀行調達に影響するため、分割後BSの数値は早期に確定させたい。</w:t>
      </w:r>
    </w:p>
    <w:p>
      <w:pPr>
        <w:pBdr>
          <w:bottom w:val="single" w:color="0B3041" w:sz="10" w:space="4"/>
        </w:pBdr>
        <w:spacing w:after="140" w:before="320"/>
      </w:pPr>
      <w:r>
        <w:rPr>
          <w:rFonts w:ascii="游ゴシック" w:cs="游ゴシック" w:eastAsia="游ゴシック" w:hAnsi="游ゴシック"/>
          <w:b/>
          <w:bCs/>
          <w:color w:val="0B3041"/>
          <w:sz w:val="26"/>
          <w:szCs w:val="26"/>
        </w:rPr>
        <w:t xml:space="preserve">2. 譲渡条件・オーナーのご意向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【高】希望譲渡価額のレンジ、および価格決定の考え方（純資産＋営業権何年分、といった目線の有無）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【高】譲渡後の関与形態 — 役職（代表継続／取締役／顧問）、勤務日数、報酬水準の希望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【高】7年程度の関与を想定とのことだが、ロックアップ（一定期間の継続勤務義務）を契約上どこまで許容できるか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【高】アーンアウト（業績連動対価）に対する受入可否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【中】株式譲渡代金の受領方法（一括／分割）、退職慰労金として受領する部分の希望有無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【中】取締役 野口文枝氏・野口聰江氏の譲渡後の処遇（退任時期、退職慰労金の有無）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【中】代表者の連帯保証の解除について、金融機関との事前折衝状況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【中】譲渡先として「NG」とする業種・企業の考え方（ショートリストへの×付けとあわせて確認）</w:t>
      </w:r>
    </w:p>
    <w:p>
      <w:pPr>
        <w:pBdr>
          <w:bottom w:val="single" w:color="0B3041" w:sz="10" w:space="4"/>
        </w:pBdr>
        <w:spacing w:after="140" w:before="320"/>
      </w:pPr>
      <w:r>
        <w:rPr>
          <w:rFonts w:ascii="游ゴシック" w:cs="游ゴシック" w:eastAsia="游ゴシック" w:hAnsi="游ゴシック"/>
          <w:b/>
          <w:bCs/>
          <w:color w:val="0B3041"/>
          <w:sz w:val="26"/>
          <w:szCs w:val="26"/>
        </w:rPr>
        <w:t xml:space="preserve">3. 株主・資本構成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【高】株主名簿の提出 — 発行済株式1,000株の保有者・保有株式数・保有比率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【高】名義株・過去の株式移動の有無、株券発行会社か否か（定款の確認）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【高】野口文枝氏・野口聰江氏と代表者との続柄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【中】取締役会設置会社か否か、譲渡制限の内容（定款の提出）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【中】設立時からの資本金の異動履歴、種類株式・新株予約権の有無</w:t>
      </w:r>
    </w:p>
    <w:p>
      <w:pPr>
        <w:pBdr>
          <w:bottom w:val="single" w:color="0B3041" w:sz="10" w:space="4"/>
        </w:pBdr>
        <w:spacing w:after="140" w:before="320"/>
      </w:pPr>
      <w:r>
        <w:rPr>
          <w:rFonts w:ascii="游ゴシック" w:cs="游ゴシック" w:eastAsia="游ゴシック" w:hAnsi="游ゴシック"/>
          <w:b/>
          <w:bCs/>
          <w:color w:val="0B3041"/>
          <w:sz w:val="26"/>
          <w:szCs w:val="26"/>
        </w:rPr>
        <w:t xml:space="preserve">4. 事業・取引条件（買手からの質問が想定される事項）</w:t>
      </w:r>
    </w:p>
    <w:p>
      <w:pPr>
        <w:spacing w:after="90" w:before="200"/>
      </w:pPr>
      <w:r>
        <w:rPr>
          <w:rFonts w:ascii="游ゴシック" w:cs="游ゴシック" w:eastAsia="游ゴシック" w:hAnsi="游ゴシック"/>
          <w:b/>
          <w:bCs/>
          <w:color w:val="0889C9"/>
          <w:sz w:val="22"/>
          <w:szCs w:val="22"/>
        </w:rPr>
        <w:t xml:space="preserve">4-1. 売上構成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【高】ライセンス案件（版権商品）とOEM受託案件の売上構成比（直近3期分）。年により変動するとのことであり、実数での提示が望ましい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【高】ロイヤリティ料率は概ね20%とのことだが、IP・案件による料率レンジ（最低〜最高）と、料率の決定方法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【高】自社オリジナル商品（スターくじ・あたりツキ！）の売上規模と利益率。版権依存を補う強みとして訴求できるか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【中】商品カテゴリ別（アクリル・缶バッジ・アパレル・ぬいぐるみ等）の売上構成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【中】進行期（令和9年1月期）の通期見通しと、5ヶ月実績からの着地見込み</w:t>
      </w:r>
    </w:p>
    <w:p>
      <w:pPr>
        <w:spacing w:after="90" w:before="200"/>
      </w:pPr>
      <w:r>
        <w:rPr>
          <w:rFonts w:ascii="游ゴシック" w:cs="游ゴシック" w:eastAsia="游ゴシック" w:hAnsi="游ゴシック"/>
          <w:b/>
          <w:bCs/>
          <w:color w:val="0889C9"/>
          <w:sz w:val="22"/>
          <w:szCs w:val="22"/>
        </w:rPr>
        <w:t xml:space="preserve">4-2. 取引先・商流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【高】アニプレックス社・講談社社との取引は、売上計上先か、ロイヤリティ支払先（版元）か。主要販売先リスト（セガ・KADOKAWA Game Linkage・ムービック等）に両社が現れない理由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【高】杭州迷萌文化創意との取引 — 製造委託先でありながら売上先にも計上されている理由。三国間取引か、部材・商品の販売か。令和7年1月期は輸出売上158,489千円に対し同社向け69,086千円と乖離がある点もあわせて確認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【高】セガ社が令和8年1月期の売上の約48%を占めることについて、契約形態（基本契約の有無・期間・更新条件）と依存度低減の方針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【中】主要取引先との商品化契約におけるチェンジオブコントロール条項の有無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【中】上位10社の顔ぶれが各期で入れ替わる理由（作品ごとの案件受注のため、との理解で相違ないか）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【中】受注から納品までのリードタイム、進行中の受注残の状況</w:t>
      </w:r>
    </w:p>
    <w:p>
      <w:pPr>
        <w:spacing w:after="90" w:before="200"/>
      </w:pPr>
      <w:r>
        <w:rPr>
          <w:rFonts w:ascii="游ゴシック" w:cs="游ゴシック" w:eastAsia="游ゴシック" w:hAnsi="游ゴシック"/>
          <w:b/>
          <w:bCs/>
          <w:color w:val="0889C9"/>
          <w:sz w:val="22"/>
          <w:szCs w:val="22"/>
        </w:rPr>
        <w:t xml:space="preserve">4-3. 在庫・原価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【高】原則買取100%・在庫を大きく抱えない方針とのことだが、棚卸資産廃棄損が3期連続で計上され増加傾向にある（6,723千円→17,217千円→19,845千円）。この乖離の要因と、廃棄の発生パターン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【高】廃棄損は今後も同水準で発生する見込みか（正常収益力の算定に直結）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【中】商品在庫が令和7年1月期23,574千円→令和8年1月期205千円と急減した要因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【中】前渡金が令和8年1月期12,055千円へ増加した要因（海外製造委託先への前払との推察で相違ないか）、相手先と納品予定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【中】為替変動の影響と、為替予約等のヘッジの有無</w:t>
      </w:r>
    </w:p>
    <w:p>
      <w:pPr>
        <w:spacing w:after="90" w:before="200"/>
      </w:pPr>
      <w:r>
        <w:rPr>
          <w:rFonts w:ascii="游ゴシック" w:cs="游ゴシック" w:eastAsia="游ゴシック" w:hAnsi="游ゴシック"/>
          <w:b/>
          <w:bCs/>
          <w:color w:val="0889C9"/>
          <w:sz w:val="22"/>
          <w:szCs w:val="22"/>
        </w:rPr>
        <w:t xml:space="preserve">4-4. 外注・製造体制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【中】大ロットは中国・小ロットは国内という使い分けの基準（ロット数・単価等）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【中】主要外注先との取引年数、代替可能性、品質管理の体制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【中】仕入先の個社別内訳（現状「非開示」となっている10社の実名）の開示可否とタイミング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【中】外注費と仕入が一体管理されているが、製造委託費のみを分離した数値の提出可否</w:t>
      </w:r>
    </w:p>
    <w:p>
      <w:pPr>
        <w:pBdr>
          <w:bottom w:val="single" w:color="0B3041" w:sz="10" w:space="4"/>
        </w:pBdr>
        <w:spacing w:after="140" w:before="320"/>
      </w:pPr>
      <w:r>
        <w:rPr>
          <w:rFonts w:ascii="游ゴシック" w:cs="游ゴシック" w:eastAsia="游ゴシック" w:hAnsi="游ゴシック"/>
          <w:b/>
          <w:bCs/>
          <w:color w:val="0B3041"/>
          <w:sz w:val="26"/>
          <w:szCs w:val="26"/>
        </w:rPr>
        <w:t xml:space="preserve">5. 組織・人事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【高】OEM案件は代表が窓口として見積作成・スケジュール調整を担当。譲渡後の引継ぎ計画（誰に、どの期間で引き継ぐか）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【高】制作部部長（勤続11年・創業メンバーのデザイナー）のキーパーソン性と、譲渡後の継続勤務の見込み。リテンション施策の要否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【中】就業規則・賃金規程の提出（給与の締日・支払日 — 未払給与の引当算定に必要）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【中】退職金規程の有無、中小企業退職金共済等の外部積立の有無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【中】育児休業取得中の従業員（No.4）の復職予定時期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【中】直近3年の退職者数と退職理由、採用の状況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【中】未払残業代の有無、労働時間管理の方法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【中】役員報酬の水準（代表者 月92千円＋賞与20,000千円）が変則的である背景</w:t>
      </w:r>
    </w:p>
    <w:p>
      <w:pPr>
        <w:pBdr>
          <w:bottom w:val="single" w:color="0B3041" w:sz="10" w:space="4"/>
        </w:pBdr>
        <w:spacing w:after="140" w:before="320"/>
      </w:pPr>
      <w:r>
        <w:rPr>
          <w:rFonts w:ascii="游ゴシック" w:cs="游ゴシック" w:eastAsia="游ゴシック" w:hAnsi="游ゴシック"/>
          <w:b/>
          <w:bCs/>
          <w:color w:val="0B3041"/>
          <w:sz w:val="26"/>
          <w:szCs w:val="26"/>
        </w:rPr>
        <w:t xml:space="preserve">6. 財務・税務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【高】投資有価証券275,896千円の銘柄別内訳と時価（有価証券内訳明細書・証券会社残高証明書）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【高】保険積立金43,327千円の契約内容と解約返戻金額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【中】売掛金の相手先別残高と年齢表（期日経過債権の有無）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【中】借入金の金融機関別残高・返済条件・金利・担保／保証の状況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【中】簿外債務（債務保証、係争、未払残業代、リース等）の有無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【中】税務調査の受検履歴と指摘事項の有無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【中】減価償却台帳（原本）の提出 — 現状は画像PDFのため償却過不足の検証が未了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【中】接待交際費・会議費等にオーナー個人に帰属する支出が含まれていないか（総勘定元帳の提出）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【中】特別保険料（年約5,580千円）の内容 — オーナー一族に係るものか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【中】未払消費税等12,018千円の発生要因（輸出売上の増減に伴う還付・納付ポジションの変動か）</w:t>
      </w:r>
    </w:p>
    <w:p>
      <w:pPr>
        <w:pBdr>
          <w:bottom w:val="single" w:color="0B3041" w:sz="10" w:space="4"/>
        </w:pBdr>
        <w:spacing w:after="140" w:before="320"/>
      </w:pPr>
      <w:r>
        <w:rPr>
          <w:rFonts w:ascii="游ゴシック" w:cs="游ゴシック" w:eastAsia="游ゴシック" w:hAnsi="游ゴシック"/>
          <w:b/>
          <w:bCs/>
          <w:color w:val="0B3041"/>
          <w:sz w:val="26"/>
          <w:szCs w:val="26"/>
        </w:rPr>
        <w:t xml:space="preserve">7. 契約・法務・許認可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【中】本社賃貸借契約書の原本確認 — 契約期間、更新条件、解約予告期間、貸主名、賃料改定条項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【中】賃貸借契約におけるチェンジオブコントロール条項の有無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【中】商品化契約・取引基本契約の写しの提出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【中】登記目的に飲食店業が含まれているが実態の有無。許認可の要否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【中】知的財産権（自社ブランド「スターくじ」「あたりツキ！」の商標登録状況）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【中】係争・クレームの有無（過去3年）</w:t>
      </w:r>
    </w:p>
    <w:p>
      <w:pPr>
        <w:pBdr>
          <w:bottom w:val="single" w:color="0B3041" w:sz="10" w:space="4"/>
        </w:pBdr>
        <w:spacing w:after="140" w:before="320"/>
      </w:pPr>
      <w:r>
        <w:rPr>
          <w:rFonts w:ascii="游ゴシック" w:cs="游ゴシック" w:eastAsia="游ゴシック" w:hAnsi="游ゴシック"/>
          <w:b/>
          <w:bCs/>
          <w:color w:val="0B3041"/>
          <w:sz w:val="26"/>
          <w:szCs w:val="26"/>
        </w:rPr>
        <w:t xml:space="preserve">8. プロセス関連（社内確認事項）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ショートリストのNG先への×付けの回収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アドバイザリー契約書の締結（送付先は埜田様ご自宅／日本橋の住所ではない点に留意）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必要資料一覧の対応状況（社長・顧問税理士にて進行）のフォロー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顧問税理士への紹介料の取扱いに関する社内整理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他社仲介の併走状況、および来週以降のトップ面談の結果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游ゴシック" w:cs="游ゴシック" w:eastAsia="游ゴシック" w:hAnsi="游ゴシック"/>
          <w:sz w:val="20"/>
          <w:szCs w:val="20"/>
        </w:rPr>
        <w:t xml:space="preserve">5年前のDD到達歴について、買手への開示タイミングの整理</w:t>
      </w:r>
    </w:p>
    <w:p>
      <w:pPr>
        <w:spacing w:after="140" w:before="40"/>
        <w:ind w:left="360"/>
      </w:pPr>
      <w:r>
        <w:rPr>
          <w:rFonts w:ascii="游ゴシック" w:cs="游ゴシック" w:eastAsia="游ゴシック" w:hAnsi="游ゴシック"/>
          <w:color w:val="666666"/>
          <w:sz w:val="17"/>
          <w:szCs w:val="17"/>
        </w:rPr>
        <w:t xml:space="preserve">※ 本項は社内確認事項であり、買手候補への開示資料には記載しない。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360" w:hanging="200"/>
      </w:pPr>
      <w:rPr>
        <w:color w:val="0889C9"/>
        <w:sz w:val="16"/>
        <w:szCs w:val="16"/>
      </w:rPr>
    </w:lvl>
    <w:lvl w:ilvl="1" w15:tentative="1">
      <w:start w:val="1"/>
      <w:numFmt w:val="bullet"/>
      <w:lvlText w:val="・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2026-07-28T13:35:21.505Z</dcterms:created>
  <dcterms:modified xsi:type="dcterms:W3CDTF">2026-07-28T13:35:21.505Z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