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FAQs</w:t>
      </w:r>
    </w:p>
    <w:p>
      <w:pPr>
        <w:pStyle w:val="Heading2"/>
      </w:pPr>
      <w:r>
        <w:t>Q: How can treatment centers and nonprofits partner with SameBoat?</w:t>
      </w:r>
    </w:p>
    <w:p>
      <w:r>
        <w:t>A: We're interested in partnering with treatment centers, nonprofits, and public health agencies to extend recovery support reach and create referral pathways. These collaborations could help serve underserved communities and improve public health outcomes. Research shows significant improvements in patient engagement and treatment completion with digital recovery support.</w:t>
      </w:r>
    </w:p>
    <w:p/>
    <w:p>
      <w:pPr>
        <w:pStyle w:val="Heading2"/>
      </w:pPr>
      <w:r>
        <w:t>Q: How can treatment centers and nonprofits partner with SameBoat?</w:t>
      </w:r>
    </w:p>
    <w:p>
      <w:r>
        <w:t>A: We're interested in partnering with treatment centers, nonprofits, and public health agencies to extend recovery support reach and create referral pathways. These collaborations could help serve underserved communities and improve public health outcomes. Research shows significant improvements in patient engagement and treatment completion with digital recovery support.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