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330D" w14:textId="77777777" w:rsidR="00F7187A" w:rsidRPr="00F7187A" w:rsidRDefault="00F7187A" w:rsidP="00F7187A">
      <w:pPr>
        <w:spacing w:line="300" w:lineRule="atLeast"/>
        <w:outlineLvl w:val="0"/>
        <w:rPr>
          <w:rFonts w:ascii="Segoe UI" w:eastAsia="Times New Roman" w:hAnsi="Segoe UI" w:cs="Segoe UI"/>
          <w:color w:val="292A2E"/>
          <w:kern w:val="36"/>
          <w:sz w:val="21"/>
          <w:szCs w:val="21"/>
          <w:bdr w:val="none" w:sz="0" w:space="0" w:color="auto" w:frame="1"/>
          <w14:ligatures w14:val="none"/>
        </w:rPr>
      </w:pPr>
      <w:r w:rsidRPr="00F7187A">
        <w:rPr>
          <w:rFonts w:ascii="Segoe UI" w:eastAsia="Times New Roman" w:hAnsi="Segoe UI" w:cs="Segoe UI"/>
          <w:color w:val="292A2E"/>
          <w:kern w:val="36"/>
          <w:sz w:val="42"/>
          <w:szCs w:val="42"/>
          <w14:ligatures w14:val="none"/>
        </w:rPr>
        <w:t>Dashboard Development Playbook / Style Guide</w:t>
      </w:r>
    </w:p>
    <w:p w14:paraId="7A6D22B5" w14:textId="77777777" w:rsidR="00F7187A" w:rsidRPr="00F7187A" w:rsidRDefault="00F7187A" w:rsidP="00F7187A">
      <w:pPr>
        <w:spacing w:line="240" w:lineRule="atLeast"/>
        <w:rPr>
          <w:rFonts w:ascii="Times New Roman" w:eastAsia="Times New Roman" w:hAnsi="Times New Roman" w:cs="Times New Roman"/>
          <w:color w:val="505258"/>
          <w:kern w:val="0"/>
          <w:sz w:val="18"/>
          <w:szCs w:val="18"/>
          <w14:ligatures w14:val="none"/>
        </w:rPr>
      </w:pPr>
    </w:p>
    <w:p w14:paraId="2DF5D942" w14:textId="537E426F" w:rsidR="00F7187A" w:rsidRDefault="00F7187A" w:rsidP="00F7187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Analytics &amp; Insights Team’s internal “style guide”, which is still in development but still robust. </w:t>
      </w:r>
    </w:p>
    <w:p w14:paraId="5A2C427C" w14:textId="32000400" w:rsidR="00F7187A" w:rsidRDefault="00F7187A" w:rsidP="00F7187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URL: </w:t>
      </w:r>
      <w:r w:rsidRPr="00F7187A">
        <w:rPr>
          <w:b/>
          <w:bCs/>
          <w:sz w:val="18"/>
          <w:szCs w:val="18"/>
        </w:rPr>
        <w:t>https://greendot.atlassian.net/wiki/x/xIUcQ</w:t>
      </w:r>
    </w:p>
    <w:p w14:paraId="0B1DE14E" w14:textId="241E0015" w:rsidR="00F7187A" w:rsidRPr="00F7187A" w:rsidRDefault="00F7187A" w:rsidP="00F7187A">
      <w:p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A playbook for designing analytics dashboards that are trustworthy, instantly understandable, and visually elegant—from first sketch to partner</w:t>
      </w:r>
      <w:r w:rsidRPr="00F7187A">
        <w:rPr>
          <w:b/>
          <w:bCs/>
          <w:sz w:val="18"/>
          <w:szCs w:val="18"/>
        </w:rPr>
        <w:noBreakHyphen/>
        <w:t>ready polish.</w:t>
      </w:r>
    </w:p>
    <w:p w14:paraId="14592503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sz w:val="18"/>
          <w:szCs w:val="18"/>
        </w:rPr>
      </w:r>
      <w:r w:rsidR="00F7187A" w:rsidRPr="00F7187A">
        <w:rPr>
          <w:sz w:val="18"/>
          <w:szCs w:val="18"/>
        </w:rPr>
        <w:pict w14:anchorId="645A0C01">
          <v:rect id="_x0000_i1061" alt="" style="width:468pt;height:.05pt;mso-width-percent:0;mso-height-percent:0;mso-width-percent:0;mso-height-percent:0" o:hralign="center" o:hrstd="t" o:hrnoshade="t" o:hr="t" fillcolor="#292a2e" stroked="f"/>
        </w:pict>
      </w:r>
    </w:p>
    <w:p w14:paraId="3AED95FE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1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·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Design Philosophy</w:t>
      </w:r>
    </w:p>
    <w:p w14:paraId="47A00A10" w14:textId="77777777" w:rsidR="00F7187A" w:rsidRPr="00F7187A" w:rsidRDefault="00F7187A" w:rsidP="00F7187A">
      <w:pPr>
        <w:numPr>
          <w:ilvl w:val="0"/>
          <w:numId w:val="10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Purpose before pixels</w:t>
      </w:r>
      <w:r w:rsidRPr="00F7187A">
        <w:rPr>
          <w:sz w:val="18"/>
          <w:szCs w:val="18"/>
        </w:rPr>
        <w:t xml:space="preserve"> – Every view must answer a concrete business question. If you cannot finish the sentence </w:t>
      </w:r>
      <w:r w:rsidRPr="00F7187A">
        <w:rPr>
          <w:i/>
          <w:iCs/>
          <w:sz w:val="18"/>
          <w:szCs w:val="18"/>
        </w:rPr>
        <w:t>“Stakeholders will use this view to ____,”</w:t>
      </w:r>
      <w:r w:rsidRPr="00F7187A">
        <w:rPr>
          <w:sz w:val="18"/>
          <w:szCs w:val="18"/>
        </w:rPr>
        <w:t xml:space="preserve"> rethink or remove it.</w:t>
      </w:r>
    </w:p>
    <w:p w14:paraId="61AEEB04" w14:textId="77777777" w:rsidR="00F7187A" w:rsidRPr="00F7187A" w:rsidRDefault="00F7187A" w:rsidP="00F7187A">
      <w:pPr>
        <w:numPr>
          <w:ilvl w:val="0"/>
          <w:numId w:val="10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Cognitive efficiency</w:t>
      </w:r>
      <w:r w:rsidRPr="00F7187A">
        <w:rPr>
          <w:sz w:val="18"/>
          <w:szCs w:val="18"/>
        </w:rPr>
        <w:t xml:space="preserve"> – maximize the information</w:t>
      </w:r>
      <w:r w:rsidRPr="00F7187A">
        <w:rPr>
          <w:sz w:val="18"/>
          <w:szCs w:val="18"/>
        </w:rPr>
        <w:noBreakHyphen/>
        <w:t>to</w:t>
      </w:r>
      <w:r w:rsidRPr="00F7187A">
        <w:rPr>
          <w:sz w:val="18"/>
          <w:szCs w:val="18"/>
        </w:rPr>
        <w:noBreakHyphen/>
        <w:t>ink ratio; delete anything that does not carry meaning (gridlines, drop</w:t>
      </w:r>
      <w:r w:rsidRPr="00F7187A">
        <w:rPr>
          <w:sz w:val="18"/>
          <w:szCs w:val="18"/>
        </w:rPr>
        <w:noBreakHyphen/>
        <w:t>shadows, decorative icons). This principle stems from Edward Tufte’s concept of chartjunk.</w:t>
      </w:r>
    </w:p>
    <w:p w14:paraId="0E7AE52D" w14:textId="77777777" w:rsidR="00F7187A" w:rsidRPr="00F7187A" w:rsidRDefault="00F7187A" w:rsidP="00F7187A">
      <w:pPr>
        <w:numPr>
          <w:ilvl w:val="0"/>
          <w:numId w:val="10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Hierarchical scanning</w:t>
      </w:r>
      <w:r w:rsidRPr="00F7187A">
        <w:rPr>
          <w:sz w:val="18"/>
          <w:szCs w:val="18"/>
        </w:rPr>
        <w:t xml:space="preserve"> – Position the most critical information in the upper</w:t>
      </w:r>
      <w:r w:rsidRPr="00F7187A">
        <w:rPr>
          <w:sz w:val="18"/>
          <w:szCs w:val="18"/>
        </w:rPr>
        <w:noBreakHyphen/>
        <w:t>left (Western F</w:t>
      </w:r>
      <w:r w:rsidRPr="00F7187A">
        <w:rPr>
          <w:sz w:val="18"/>
          <w:szCs w:val="18"/>
        </w:rPr>
        <w:noBreakHyphen/>
        <w:t>pattern) and give it visual dominance. Stakeholders decide within seconds whether to engage further.</w:t>
      </w:r>
    </w:p>
    <w:p w14:paraId="1BB6B855" w14:textId="77777777" w:rsidR="00F7187A" w:rsidRPr="00F7187A" w:rsidRDefault="00F7187A" w:rsidP="00F7187A">
      <w:pPr>
        <w:numPr>
          <w:ilvl w:val="0"/>
          <w:numId w:val="10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Context + comparison</w:t>
      </w:r>
      <w:r w:rsidRPr="00F7187A">
        <w:rPr>
          <w:sz w:val="18"/>
          <w:szCs w:val="18"/>
        </w:rPr>
        <w:t xml:space="preserve"> – Numbers rarely speak on their own. Provide baselines, targets, or previous periods so users know whether the result is good or bad. BANs should ship with context (e.g., Δ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vs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LY).</w:t>
      </w:r>
    </w:p>
    <w:p w14:paraId="4BCA4535" w14:textId="77777777" w:rsidR="00F7187A" w:rsidRPr="00F7187A" w:rsidRDefault="00F7187A" w:rsidP="00F7187A">
      <w:pPr>
        <w:numPr>
          <w:ilvl w:val="0"/>
          <w:numId w:val="10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Accessible, brand</w:t>
      </w:r>
      <w:r w:rsidRPr="00F7187A">
        <w:rPr>
          <w:b/>
          <w:bCs/>
          <w:sz w:val="18"/>
          <w:szCs w:val="18"/>
        </w:rPr>
        <w:noBreakHyphen/>
        <w:t>consistent aesthetics</w:t>
      </w:r>
      <w:r w:rsidRPr="00F7187A">
        <w:rPr>
          <w:sz w:val="18"/>
          <w:szCs w:val="18"/>
        </w:rPr>
        <w:t xml:space="preserve"> – Use a restrained, high</w:t>
      </w:r>
      <w:r w:rsidRPr="00F7187A">
        <w:rPr>
          <w:sz w:val="18"/>
          <w:szCs w:val="18"/>
        </w:rPr>
        <w:noBreakHyphen/>
        <w:t>contrast color palette and prefer shades of a single hue over many hues.</w:t>
      </w:r>
    </w:p>
    <w:p w14:paraId="29CDE22A" w14:textId="77777777" w:rsidR="00F7187A" w:rsidRPr="00F7187A" w:rsidRDefault="00F7187A" w:rsidP="00F7187A">
      <w:pPr>
        <w:numPr>
          <w:ilvl w:val="0"/>
          <w:numId w:val="10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Text as a design element</w:t>
      </w:r>
      <w:r w:rsidRPr="00F7187A">
        <w:rPr>
          <w:sz w:val="18"/>
          <w:szCs w:val="18"/>
        </w:rPr>
        <w:t xml:space="preserve"> – Descriptive titles, informative subtitles, on</w:t>
      </w:r>
      <w:r w:rsidRPr="00F7187A">
        <w:rPr>
          <w:sz w:val="18"/>
          <w:szCs w:val="18"/>
        </w:rPr>
        <w:noBreakHyphen/>
        <w:t>chart annotations, and micro</w:t>
      </w:r>
      <w:r w:rsidRPr="00F7187A">
        <w:rPr>
          <w:sz w:val="18"/>
          <w:szCs w:val="18"/>
        </w:rPr>
        <w:noBreakHyphen/>
        <w:t>copy that instruct users dramatically improve comprehension.</w:t>
      </w:r>
    </w:p>
    <w:p w14:paraId="5A6A2BEA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sz w:val="18"/>
          <w:szCs w:val="18"/>
        </w:rPr>
      </w:r>
      <w:r w:rsidR="00F7187A" w:rsidRPr="00F7187A">
        <w:rPr>
          <w:sz w:val="18"/>
          <w:szCs w:val="18"/>
        </w:rPr>
        <w:pict w14:anchorId="6D8B7527">
          <v:rect id="_x0000_i1062" alt="" style="width:468pt;height:.05pt;mso-width-percent:0;mso-height-percent:0;mso-width-percent:0;mso-height-percent:0" o:hralign="center" o:hrstd="t" o:hrnoshade="t" o:hr="t" fillcolor="#292a2e" stroked="f"/>
        </w:pict>
      </w:r>
    </w:p>
    <w:p w14:paraId="362394DD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2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·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Process Workflow</w:t>
      </w:r>
    </w:p>
    <w:tbl>
      <w:tblPr>
        <w:tblW w:w="21600" w:type="dxa"/>
        <w:tblBorders>
          <w:top w:val="single" w:sz="8" w:space="0" w:color="DDDEE1"/>
          <w:left w:val="single" w:sz="8" w:space="0" w:color="DDDEE1"/>
          <w:bottom w:val="single" w:sz="8" w:space="0" w:color="DDDEE1"/>
          <w:right w:val="single" w:sz="8" w:space="0" w:color="DDDE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11985"/>
        <w:gridCol w:w="6378"/>
      </w:tblGrid>
      <w:tr w:rsidR="00F7187A" w:rsidRPr="00F7187A" w14:paraId="6DC9D32C" w14:textId="77777777" w:rsidTr="00F7187A">
        <w:trPr>
          <w:trHeight w:val="707"/>
        </w:trPr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12A87F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Stage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6CB2D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Key Actions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0F1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D82A5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Deliverables</w:t>
            </w:r>
          </w:p>
        </w:tc>
      </w:tr>
      <w:tr w:rsidR="00F7187A" w:rsidRPr="00F7187A" w14:paraId="254A7230" w14:textId="77777777" w:rsidTr="00F7187A"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3A04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b/>
                <w:bCs/>
                <w:sz w:val="18"/>
                <w:szCs w:val="18"/>
              </w:rPr>
              <w:t>Discover &amp; Define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98F08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Identify decision</w:t>
            </w:r>
            <w:r w:rsidRPr="00F7187A">
              <w:rPr>
                <w:sz w:val="18"/>
                <w:szCs w:val="18"/>
              </w:rPr>
              <w:noBreakHyphen/>
              <w:t>makers, their data literacy, and the core metrics/questions.</w:t>
            </w:r>
          </w:p>
          <w:p w14:paraId="0D310F2F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Translate questions into concrete KPIs and user stories.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397E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Audience persona, KPI list</w:t>
            </w:r>
          </w:p>
        </w:tc>
      </w:tr>
      <w:tr w:rsidR="00F7187A" w:rsidRPr="00F7187A" w14:paraId="6612FF63" w14:textId="77777777" w:rsidTr="00F7187A"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B65FE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b/>
                <w:bCs/>
                <w:sz w:val="18"/>
                <w:szCs w:val="18"/>
              </w:rPr>
              <w:t>Model &amp; Validate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490D9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Build metrics in dbt as fully tested, documented models.</w:t>
            </w:r>
          </w:p>
          <w:p w14:paraId="2B45AAED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Profile source tables; reconcile totals against trusted systems.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B14A0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Certified dataset (all dbt tests green)</w:t>
            </w:r>
          </w:p>
        </w:tc>
      </w:tr>
      <w:tr w:rsidR="00F7187A" w:rsidRPr="00F7187A" w14:paraId="23EE67CA" w14:textId="77777777" w:rsidTr="00F7187A"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5AD3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b/>
                <w:bCs/>
                <w:sz w:val="18"/>
                <w:szCs w:val="18"/>
              </w:rPr>
              <w:t>Wireframe &amp; Prototype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0CAB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Sketch a two</w:t>
            </w:r>
            <w:r w:rsidRPr="00F7187A">
              <w:rPr>
                <w:sz w:val="18"/>
                <w:szCs w:val="18"/>
              </w:rPr>
              <w:noBreakHyphen/>
              <w:t xml:space="preserve"> or three</w:t>
            </w:r>
            <w:r w:rsidRPr="00F7187A">
              <w:rPr>
                <w:sz w:val="18"/>
                <w:szCs w:val="18"/>
              </w:rPr>
              <w:noBreakHyphen/>
              <w:t>row layout using style</w:t>
            </w:r>
            <w:r w:rsidRPr="00F7187A">
              <w:rPr>
                <w:sz w:val="18"/>
                <w:szCs w:val="18"/>
              </w:rPr>
              <w:noBreakHyphen/>
              <w:t>guide templates.</w:t>
            </w:r>
          </w:p>
          <w:p w14:paraId="5A13E8EB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Place BANs on the top row, trends in the middle, and drill</w:t>
            </w:r>
            <w:r w:rsidRPr="00F7187A">
              <w:rPr>
                <w:sz w:val="18"/>
                <w:szCs w:val="18"/>
              </w:rPr>
              <w:noBreakHyphen/>
              <w:t>downs at the bottom; decide required interactions.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663F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Low</w:t>
            </w:r>
            <w:r w:rsidRPr="00F7187A">
              <w:rPr>
                <w:sz w:val="18"/>
                <w:szCs w:val="18"/>
              </w:rPr>
              <w:noBreakHyphen/>
              <w:t>fidelity mock</w:t>
            </w:r>
            <w:r w:rsidRPr="00F7187A">
              <w:rPr>
                <w:sz w:val="18"/>
                <w:szCs w:val="18"/>
              </w:rPr>
              <w:noBreakHyphen/>
              <w:t>up (Miro, Confluence canvas, Tableau)</w:t>
            </w:r>
          </w:p>
        </w:tc>
      </w:tr>
      <w:tr w:rsidR="00F7187A" w:rsidRPr="00F7187A" w14:paraId="0AE61945" w14:textId="77777777" w:rsidTr="00F7187A"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06F40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b/>
                <w:bCs/>
                <w:sz w:val="18"/>
                <w:szCs w:val="18"/>
              </w:rPr>
              <w:lastRenderedPageBreak/>
              <w:t>Internal QA &amp; Peer Review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8ACEF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Run metric accuracy checks and cross</w:t>
            </w:r>
            <w:r w:rsidRPr="00F7187A">
              <w:rPr>
                <w:sz w:val="18"/>
                <w:szCs w:val="18"/>
              </w:rPr>
              <w:noBreakHyphen/>
              <w:t>filter sanity tests.</w:t>
            </w:r>
          </w:p>
          <w:p w14:paraId="2F5F3FFE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Ask a non</w:t>
            </w:r>
            <w:r w:rsidRPr="00F7187A">
              <w:rPr>
                <w:sz w:val="18"/>
                <w:szCs w:val="18"/>
              </w:rPr>
              <w:noBreakHyphen/>
              <w:t>author teammate to interpret each view aloud—listen for confusion.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6ADCA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QA checklist signed</w:t>
            </w:r>
          </w:p>
        </w:tc>
      </w:tr>
      <w:tr w:rsidR="00F7187A" w:rsidRPr="00F7187A" w14:paraId="3E76BF63" w14:textId="77777777" w:rsidTr="00F7187A"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41B59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b/>
                <w:bCs/>
                <w:sz w:val="18"/>
                <w:szCs w:val="18"/>
              </w:rPr>
              <w:t>Stakeholder Feedback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F068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Share internally first; gather written feedback on relevance and usability.</w:t>
            </w:r>
          </w:p>
          <w:p w14:paraId="2808C623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Iterate until remaining issues take &lt;</w:t>
            </w:r>
            <w:r w:rsidRPr="00F7187A">
              <w:rPr>
                <w:rFonts w:ascii="Arial" w:hAnsi="Arial" w:cs="Arial"/>
                <w:sz w:val="18"/>
                <w:szCs w:val="18"/>
              </w:rPr>
              <w:t> </w:t>
            </w:r>
            <w:r w:rsidRPr="00F7187A">
              <w:rPr>
                <w:sz w:val="18"/>
                <w:szCs w:val="18"/>
              </w:rPr>
              <w:t>5 minutes to explain.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E608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Revised prototype</w:t>
            </w:r>
          </w:p>
        </w:tc>
      </w:tr>
      <w:tr w:rsidR="00F7187A" w:rsidRPr="00F7187A" w14:paraId="5701606D" w14:textId="77777777" w:rsidTr="00F7187A"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03D1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b/>
                <w:bCs/>
                <w:sz w:val="18"/>
                <w:szCs w:val="18"/>
              </w:rPr>
              <w:t>External</w:t>
            </w:r>
            <w:r w:rsidRPr="00F7187A">
              <w:rPr>
                <w:b/>
                <w:bCs/>
                <w:sz w:val="18"/>
                <w:szCs w:val="18"/>
              </w:rPr>
              <w:noBreakHyphen/>
              <w:t>Ready Polish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4545F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Apply final formatting and accessibility passes.</w:t>
            </w:r>
          </w:p>
          <w:p w14:paraId="0395AC7D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Lock the version and archive queries for traceability.</w:t>
            </w:r>
          </w:p>
          <w:p w14:paraId="2006E113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– Publish to Tableau Cloud or MicroStrategy with a change</w:t>
            </w:r>
            <w:r w:rsidRPr="00F7187A">
              <w:rPr>
                <w:sz w:val="18"/>
                <w:szCs w:val="18"/>
              </w:rPr>
              <w:noBreakHyphen/>
              <w:t>log.</w:t>
            </w:r>
          </w:p>
        </w:tc>
        <w:tc>
          <w:tcPr>
            <w:tcW w:w="0" w:type="auto"/>
            <w:tcBorders>
              <w:top w:val="single" w:sz="8" w:space="0" w:color="DDDEE1"/>
              <w:left w:val="single" w:sz="8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54914" w14:textId="77777777" w:rsidR="00F7187A" w:rsidRPr="00F7187A" w:rsidRDefault="00F7187A" w:rsidP="00F7187A">
            <w:pPr>
              <w:rPr>
                <w:sz w:val="18"/>
                <w:szCs w:val="18"/>
              </w:rPr>
            </w:pPr>
            <w:r w:rsidRPr="00F7187A">
              <w:rPr>
                <w:sz w:val="18"/>
                <w:szCs w:val="18"/>
              </w:rPr>
              <w:t>Release notes &amp; published URL</w:t>
            </w:r>
          </w:p>
        </w:tc>
      </w:tr>
    </w:tbl>
    <w:p w14:paraId="6ADD1F78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noProof/>
          <w:sz w:val="18"/>
          <w:szCs w:val="18"/>
        </w:rPr>
      </w:r>
      <w:r w:rsidR="00F7187A" w:rsidRPr="00F7187A">
        <w:rPr>
          <w:noProof/>
          <w:sz w:val="18"/>
          <w:szCs w:val="18"/>
        </w:rPr>
        <w:pict w14:anchorId="1A1A3D80">
          <v:rect id="_x0000_i1063" alt="" style="width:468pt;height:.05pt;mso-width-percent:0;mso-height-percent:0;mso-width-percent:0;mso-height-percent:0" o:hralign="center" o:hrstd="t" o:hrnoshade="t" o:hr="t" fillcolor="#292a2e" stroked="f"/>
        </w:pict>
      </w:r>
    </w:p>
    <w:p w14:paraId="400D31AF" w14:textId="2062F26D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·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Visual &amp; Interaction Design [</w:t>
      </w:r>
      <w:r w:rsidRPr="00F7187A">
        <w:rPr>
          <w:b/>
          <w:bCs/>
          <w:sz w:val="18"/>
          <w:szCs w:val="18"/>
        </w:rPr>
        <w:fldChar w:fldCharType="begin"/>
      </w:r>
      <w:r w:rsidRPr="00F7187A">
        <w:rPr>
          <w:b/>
          <w:bCs/>
          <w:sz w:val="18"/>
          <w:szCs w:val="18"/>
        </w:rPr>
        <w:instrText xml:space="preserve"> INCLUDEPICTURE "https://pf-emoji-service--cdn.us-east-1.prod.public.atl-paas.net/atlassian/productivityEmojis/check-32px.png" \* MERGEFORMATINET </w:instrText>
      </w:r>
      <w:r w:rsidRPr="00F7187A">
        <w:rPr>
          <w:b/>
          <w:bCs/>
          <w:sz w:val="18"/>
          <w:szCs w:val="18"/>
        </w:rPr>
        <w:fldChar w:fldCharType="separate"/>
      </w:r>
      <w:r w:rsidRPr="00F7187A">
        <w:rPr>
          <w:b/>
          <w:bCs/>
          <w:sz w:val="18"/>
          <w:szCs w:val="18"/>
        </w:rPr>
        <w:drawing>
          <wp:inline distT="0" distB="0" distL="0" distR="0" wp14:anchorId="7BB6135D" wp14:editId="13543431">
            <wp:extent cx="253365" cy="253365"/>
            <wp:effectExtent l="0" t="0" r="635" b="635"/>
            <wp:docPr id="223142944" name="Picture 12" descr="Check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eck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7A">
        <w:rPr>
          <w:sz w:val="18"/>
          <w:szCs w:val="18"/>
        </w:rPr>
        <w:fldChar w:fldCharType="end"/>
      </w:r>
      <w:r w:rsidRPr="00F7187A">
        <w:rPr>
          <w:b/>
          <w:bCs/>
          <w:sz w:val="18"/>
          <w:szCs w:val="18"/>
        </w:rPr>
        <w:t xml:space="preserve"> = self-QA checklist requirement] </w:t>
      </w:r>
    </w:p>
    <w:p w14:paraId="5537E06A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3.1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Layout &amp; Hierarchy</w:t>
      </w:r>
    </w:p>
    <w:p w14:paraId="5BA9142E" w14:textId="77777777" w:rsidR="00F7187A" w:rsidRPr="00F7187A" w:rsidRDefault="00F7187A" w:rsidP="00F7187A">
      <w:pPr>
        <w:numPr>
          <w:ilvl w:val="0"/>
          <w:numId w:val="11"/>
        </w:numPr>
        <w:rPr>
          <w:sz w:val="18"/>
          <w:szCs w:val="18"/>
        </w:rPr>
      </w:pPr>
      <w:r w:rsidRPr="00F7187A">
        <w:rPr>
          <w:b/>
          <w:bCs/>
          <w:sz w:val="18"/>
          <w:szCs w:val="18"/>
        </w:rPr>
        <w:t>Follow the two</w:t>
      </w:r>
      <w:r w:rsidRPr="00F7187A">
        <w:rPr>
          <w:b/>
          <w:bCs/>
          <w:sz w:val="18"/>
          <w:szCs w:val="18"/>
        </w:rPr>
        <w:noBreakHyphen/>
        <w:t xml:space="preserve"> or three</w:t>
      </w:r>
      <w:r w:rsidRPr="00F7187A">
        <w:rPr>
          <w:b/>
          <w:bCs/>
          <w:sz w:val="18"/>
          <w:szCs w:val="18"/>
        </w:rPr>
        <w:noBreakHyphen/>
        <w:t>row pattern</w:t>
      </w:r>
      <w:r w:rsidRPr="00F7187A">
        <w:rPr>
          <w:sz w:val="18"/>
          <w:szCs w:val="18"/>
        </w:rPr>
        <w:t>—BANs across the top, the key trend in the centre, and supporting distributions or details below.</w:t>
      </w:r>
    </w:p>
    <w:p w14:paraId="0078021B" w14:textId="77777777" w:rsidR="00F7187A" w:rsidRPr="00F7187A" w:rsidRDefault="00F7187A" w:rsidP="00F7187A">
      <w:pPr>
        <w:numPr>
          <w:ilvl w:val="0"/>
          <w:numId w:val="11"/>
        </w:numPr>
        <w:rPr>
          <w:sz w:val="18"/>
          <w:szCs w:val="18"/>
        </w:rPr>
      </w:pPr>
      <w:r w:rsidRPr="00F7187A">
        <w:rPr>
          <w:sz w:val="18"/>
          <w:szCs w:val="18"/>
        </w:rPr>
        <w:t>Maintain generous white</w:t>
      </w:r>
      <w:r w:rsidRPr="00F7187A">
        <w:rPr>
          <w:sz w:val="18"/>
          <w:szCs w:val="18"/>
        </w:rPr>
        <w:noBreakHyphen/>
        <w:t>space gutters (≥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16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px) to avoid visual crowding.</w:t>
      </w:r>
    </w:p>
    <w:p w14:paraId="16F56DAC" w14:textId="5E01726C" w:rsidR="00F7187A" w:rsidRPr="00F7187A" w:rsidRDefault="00F7187A" w:rsidP="00F7187A">
      <w:pPr>
        <w:rPr>
          <w:sz w:val="18"/>
          <w:szCs w:val="18"/>
        </w:rPr>
      </w:pPr>
      <w:r w:rsidRPr="00F7187A">
        <w:rPr>
          <w:sz w:val="18"/>
          <w:szCs w:val="18"/>
        </w:rPr>
        <w:fldChar w:fldCharType="begin"/>
      </w:r>
      <w:r w:rsidRPr="00F7187A">
        <w:rPr>
          <w:sz w:val="18"/>
          <w:szCs w:val="18"/>
        </w:rPr>
        <w:instrText xml:space="preserve"> INCLUDEPICTURE "blob:https://greendot.atlassian.net/f57b745e-c3e6-4f10-b33e-f46499d2d0cc#media-blob-url=true&amp;id=10b40ab7-3c41-47e1-8c65-7198564e7b27&amp;collection=contentId-1075611076&amp;contextId=1075611076&amp;mimeType=image%2Fpng&amp;name=Screenshot%202025-05-29%20at%201.41.19%E2%80%AFPM.png&amp;size=1069251&amp;width=1043&amp;height=1007&amp;alt=" \* MERGEFORMATINET </w:instrText>
      </w:r>
      <w:r w:rsidRPr="00F7187A">
        <w:rPr>
          <w:sz w:val="18"/>
          <w:szCs w:val="18"/>
        </w:rPr>
        <w:fldChar w:fldCharType="separate"/>
      </w:r>
      <w:r w:rsidRPr="00F7187A">
        <w:rPr>
          <w:sz w:val="18"/>
          <w:szCs w:val="18"/>
        </w:rPr>
        <mc:AlternateContent>
          <mc:Choice Requires="wps">
            <w:drawing>
              <wp:inline distT="0" distB="0" distL="0" distR="0" wp14:anchorId="1311DC03" wp14:editId="719AE2F3">
                <wp:extent cx="302260" cy="302260"/>
                <wp:effectExtent l="0" t="0" r="0" b="0"/>
                <wp:docPr id="1077833557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B5C06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187A">
        <w:rPr>
          <w:sz w:val="18"/>
          <w:szCs w:val="18"/>
        </w:rPr>
        <w:fldChar w:fldCharType="end"/>
      </w:r>
    </w:p>
    <w:p w14:paraId="607D2B3D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sz w:val="18"/>
          <w:szCs w:val="18"/>
        </w:rPr>
        <w:t xml:space="preserve">Source: </w:t>
      </w:r>
      <w:hyperlink r:id="rId6" w:history="1">
        <w:r w:rsidRPr="00F7187A">
          <w:rPr>
            <w:rStyle w:val="Hyperlink"/>
            <w:sz w:val="18"/>
            <w:szCs w:val="18"/>
          </w:rPr>
          <w:t>Dashboard Wireframe Kit 2nd Edition</w:t>
        </w:r>
      </w:hyperlink>
      <w:r w:rsidRPr="00F7187A">
        <w:rPr>
          <w:sz w:val="18"/>
          <w:szCs w:val="18"/>
        </w:rPr>
        <w:t xml:space="preserve"> </w:t>
      </w:r>
    </w:p>
    <w:p w14:paraId="3CF09AA4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sz w:val="18"/>
          <w:szCs w:val="18"/>
        </w:rPr>
        <w:t> </w:t>
      </w:r>
    </w:p>
    <w:p w14:paraId="75694EC8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sz w:val="18"/>
          <w:szCs w:val="18"/>
        </w:rPr>
        <w:t> </w:t>
      </w:r>
    </w:p>
    <w:p w14:paraId="64003A40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3.2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Key Numbers (BANs)</w:t>
      </w:r>
    </w:p>
    <w:p w14:paraId="77C7A328" w14:textId="272373AE" w:rsidR="00F7187A" w:rsidRPr="00F7187A" w:rsidRDefault="00F7187A" w:rsidP="00F7187A">
      <w:pPr>
        <w:numPr>
          <w:ilvl w:val="0"/>
          <w:numId w:val="12"/>
        </w:numPr>
        <w:rPr>
          <w:sz w:val="18"/>
          <w:szCs w:val="18"/>
        </w:rPr>
      </w:pPr>
      <w:r w:rsidRPr="00F7187A">
        <w:rPr>
          <w:sz w:val="18"/>
          <w:szCs w:val="18"/>
        </w:rPr>
        <w:fldChar w:fldCharType="begin"/>
      </w:r>
      <w:r w:rsidRPr="00F7187A">
        <w:rPr>
          <w:sz w:val="18"/>
          <w:szCs w:val="18"/>
        </w:rPr>
        <w:instrText xml:space="preserve"> INCLUDEPICTURE "https://pf-emoji-service--cdn.us-east-1.prod.public.atl-paas.net/atlassian/productivityEmojis/check-32px.png" \* MERGEFORMATINET </w:instrText>
      </w:r>
      <w:r w:rsidRPr="00F7187A">
        <w:rPr>
          <w:sz w:val="18"/>
          <w:szCs w:val="18"/>
        </w:rPr>
        <w:fldChar w:fldCharType="separate"/>
      </w:r>
      <w:r w:rsidRPr="00F7187A">
        <w:rPr>
          <w:sz w:val="18"/>
          <w:szCs w:val="18"/>
        </w:rPr>
        <w:drawing>
          <wp:inline distT="0" distB="0" distL="0" distR="0" wp14:anchorId="2F3210EB" wp14:editId="6D81C9B1">
            <wp:extent cx="253365" cy="253365"/>
            <wp:effectExtent l="0" t="0" r="635" b="635"/>
            <wp:docPr id="959187943" name="Picture 10" descr="Check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eck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7A">
        <w:rPr>
          <w:sz w:val="18"/>
          <w:szCs w:val="18"/>
        </w:rPr>
        <w:fldChar w:fldCharType="end"/>
      </w:r>
      <w:r w:rsidRPr="00F7187A">
        <w:rPr>
          <w:sz w:val="18"/>
          <w:szCs w:val="18"/>
        </w:rPr>
        <w:t xml:space="preserve">Place KPI boxes on the </w:t>
      </w:r>
      <w:r w:rsidRPr="00F7187A">
        <w:rPr>
          <w:b/>
          <w:bCs/>
          <w:sz w:val="18"/>
          <w:szCs w:val="18"/>
        </w:rPr>
        <w:t>top row of the screen</w:t>
      </w:r>
    </w:p>
    <w:p w14:paraId="40CB23AD" w14:textId="77777777" w:rsidR="00F7187A" w:rsidRPr="00F7187A" w:rsidRDefault="00F7187A" w:rsidP="00F7187A">
      <w:pPr>
        <w:numPr>
          <w:ilvl w:val="0"/>
          <w:numId w:val="12"/>
        </w:numPr>
        <w:rPr>
          <w:sz w:val="18"/>
          <w:szCs w:val="18"/>
        </w:rPr>
      </w:pPr>
      <w:r w:rsidRPr="00F7187A">
        <w:rPr>
          <w:sz w:val="18"/>
          <w:szCs w:val="18"/>
        </w:rPr>
        <w:t>Pair each BAN with either (a) Δ vs target, (b) Δ vs prior period, or (c) a spark</w:t>
      </w:r>
      <w:r w:rsidRPr="00F7187A">
        <w:rPr>
          <w:sz w:val="18"/>
          <w:szCs w:val="18"/>
        </w:rPr>
        <w:noBreakHyphen/>
        <w:t>line; aim for a three</w:t>
      </w:r>
      <w:r w:rsidRPr="00F7187A">
        <w:rPr>
          <w:sz w:val="18"/>
          <w:szCs w:val="18"/>
        </w:rPr>
        <w:noBreakHyphen/>
        <w:t>second read.</w:t>
      </w:r>
    </w:p>
    <w:p w14:paraId="4C247E23" w14:textId="77777777" w:rsidR="00F7187A" w:rsidRPr="00F7187A" w:rsidRDefault="00F7187A" w:rsidP="00F7187A">
      <w:pPr>
        <w:numPr>
          <w:ilvl w:val="0"/>
          <w:numId w:val="12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Detailed guides/examples: </w:t>
      </w:r>
      <w:hyperlink r:id="rId7" w:history="1">
        <w:r w:rsidRPr="00F7187A">
          <w:rPr>
            <w:rStyle w:val="Hyperlink"/>
            <w:sz w:val="18"/>
            <w:szCs w:val="18"/>
          </w:rPr>
          <w:t>Anatomy of the KPI Card</w:t>
        </w:r>
      </w:hyperlink>
      <w:hyperlink r:id="rId8" w:history="1">
        <w:r w:rsidRPr="00F7187A">
          <w:rPr>
            <w:rStyle w:val="Hyperlink"/>
            <w:sz w:val="18"/>
            <w:szCs w:val="18"/>
          </w:rPr>
          <w:t>In Praise of BANs (Big-Ass Numbers) - Data Revelations</w:t>
        </w:r>
      </w:hyperlink>
      <w:r w:rsidRPr="00F7187A">
        <w:rPr>
          <w:sz w:val="18"/>
          <w:szCs w:val="18"/>
        </w:rPr>
        <w:t xml:space="preserve"> </w:t>
      </w:r>
    </w:p>
    <w:p w14:paraId="2F07D9D6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3.3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Chart &amp; Table Patterns</w:t>
      </w:r>
    </w:p>
    <w:p w14:paraId="5B3CA767" w14:textId="77777777" w:rsidR="00F7187A" w:rsidRPr="00F7187A" w:rsidRDefault="00F7187A" w:rsidP="00F7187A">
      <w:pPr>
        <w:numPr>
          <w:ilvl w:val="0"/>
          <w:numId w:val="13"/>
        </w:numPr>
        <w:rPr>
          <w:sz w:val="18"/>
          <w:szCs w:val="18"/>
        </w:rPr>
      </w:pPr>
      <w:r w:rsidRPr="00F7187A">
        <w:rPr>
          <w:sz w:val="18"/>
          <w:szCs w:val="18"/>
        </w:rPr>
        <w:t>Match chart type to question: line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→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trend, bar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→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ranking, heat</w:t>
      </w:r>
      <w:r w:rsidRPr="00F7187A">
        <w:rPr>
          <w:sz w:val="18"/>
          <w:szCs w:val="18"/>
        </w:rPr>
        <w:noBreakHyphen/>
        <w:t>map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→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part</w:t>
      </w:r>
      <w:r w:rsidRPr="00F7187A">
        <w:rPr>
          <w:sz w:val="18"/>
          <w:szCs w:val="18"/>
        </w:rPr>
        <w:noBreakHyphen/>
        <w:t>to</w:t>
      </w:r>
      <w:r w:rsidRPr="00F7187A">
        <w:rPr>
          <w:sz w:val="18"/>
          <w:szCs w:val="18"/>
        </w:rPr>
        <w:noBreakHyphen/>
        <w:t xml:space="preserve">whole. </w:t>
      </w:r>
      <w:hyperlink r:id="rId9" w:tooltip="https://github.com/Financial-Times/chart-doctor/blob/main/visual-vocabulary/README.md" w:history="1">
        <w:r w:rsidRPr="00F7187A">
          <w:rPr>
            <w:rStyle w:val="Hyperlink"/>
            <w:sz w:val="18"/>
            <w:szCs w:val="18"/>
          </w:rPr>
          <w:t>FT Visual Vocabulary</w:t>
        </w:r>
      </w:hyperlink>
    </w:p>
    <w:p w14:paraId="40EF1141" w14:textId="3AD8DD38" w:rsidR="00F7187A" w:rsidRPr="00F7187A" w:rsidRDefault="00F7187A" w:rsidP="00F7187A">
      <w:pPr>
        <w:numPr>
          <w:ilvl w:val="0"/>
          <w:numId w:val="13"/>
        </w:numPr>
        <w:rPr>
          <w:sz w:val="18"/>
          <w:szCs w:val="18"/>
        </w:rPr>
      </w:pPr>
      <w:r w:rsidRPr="00F7187A">
        <w:rPr>
          <w:sz w:val="18"/>
          <w:szCs w:val="18"/>
        </w:rPr>
        <w:fldChar w:fldCharType="begin"/>
      </w:r>
      <w:r w:rsidRPr="00F7187A">
        <w:rPr>
          <w:sz w:val="18"/>
          <w:szCs w:val="18"/>
        </w:rPr>
        <w:instrText xml:space="preserve"> INCLUDEPICTURE "https://pf-emoji-service--cdn.us-east-1.prod.public.atl-paas.net/atlassian/productivityEmojis/check-32px.png" \* MERGEFORMATINET </w:instrText>
      </w:r>
      <w:r w:rsidRPr="00F7187A">
        <w:rPr>
          <w:sz w:val="18"/>
          <w:szCs w:val="18"/>
        </w:rPr>
        <w:fldChar w:fldCharType="separate"/>
      </w:r>
      <w:r w:rsidRPr="00F7187A">
        <w:rPr>
          <w:sz w:val="18"/>
          <w:szCs w:val="18"/>
        </w:rPr>
        <w:drawing>
          <wp:inline distT="0" distB="0" distL="0" distR="0" wp14:anchorId="2EBFD932" wp14:editId="663FDB9C">
            <wp:extent cx="253365" cy="253365"/>
            <wp:effectExtent l="0" t="0" r="635" b="635"/>
            <wp:docPr id="887367950" name="Picture 9" descr="Check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eck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7A">
        <w:rPr>
          <w:sz w:val="18"/>
          <w:szCs w:val="18"/>
        </w:rPr>
        <w:fldChar w:fldCharType="end"/>
      </w:r>
      <w:r w:rsidRPr="00F7187A">
        <w:rPr>
          <w:sz w:val="18"/>
          <w:szCs w:val="18"/>
        </w:rPr>
        <w:t xml:space="preserve">Place data labels directly on bar charts </w:t>
      </w:r>
    </w:p>
    <w:p w14:paraId="2E75C79A" w14:textId="5A4998A3" w:rsidR="00F7187A" w:rsidRPr="00F7187A" w:rsidRDefault="00F7187A" w:rsidP="00F7187A">
      <w:pPr>
        <w:numPr>
          <w:ilvl w:val="0"/>
          <w:numId w:val="13"/>
        </w:numPr>
        <w:rPr>
          <w:sz w:val="18"/>
          <w:szCs w:val="18"/>
        </w:rPr>
      </w:pPr>
      <w:r w:rsidRPr="00F7187A">
        <w:rPr>
          <w:sz w:val="18"/>
          <w:szCs w:val="18"/>
        </w:rPr>
        <w:fldChar w:fldCharType="begin"/>
      </w:r>
      <w:r w:rsidRPr="00F7187A">
        <w:rPr>
          <w:sz w:val="18"/>
          <w:szCs w:val="18"/>
        </w:rPr>
        <w:instrText xml:space="preserve"> INCLUDEPICTURE "https://pf-emoji-service--cdn.us-east-1.prod.public.atl-paas.net/atlassian/productivityEmojis/check-32px.png" \* MERGEFORMATINET </w:instrText>
      </w:r>
      <w:r w:rsidRPr="00F7187A">
        <w:rPr>
          <w:sz w:val="18"/>
          <w:szCs w:val="18"/>
        </w:rPr>
        <w:fldChar w:fldCharType="separate"/>
      </w:r>
      <w:r w:rsidRPr="00F7187A">
        <w:rPr>
          <w:sz w:val="18"/>
          <w:szCs w:val="18"/>
        </w:rPr>
        <w:drawing>
          <wp:inline distT="0" distB="0" distL="0" distR="0" wp14:anchorId="10FC1421" wp14:editId="548A5772">
            <wp:extent cx="253365" cy="253365"/>
            <wp:effectExtent l="0" t="0" r="635" b="635"/>
            <wp:docPr id="134403848" name="Picture 8" descr="Check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eck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7A">
        <w:rPr>
          <w:sz w:val="18"/>
          <w:szCs w:val="18"/>
        </w:rPr>
        <w:fldChar w:fldCharType="end"/>
      </w:r>
      <w:r w:rsidRPr="00F7187A">
        <w:rPr>
          <w:sz w:val="18"/>
          <w:szCs w:val="18"/>
        </w:rPr>
        <w:t>For combo charts, be thoughtful &amp; deliberate with series shape. Eg quantity should be a bar, a % rate should be a line</w:t>
      </w:r>
    </w:p>
    <w:p w14:paraId="77772261" w14:textId="77777777" w:rsidR="00F7187A" w:rsidRPr="00F7187A" w:rsidRDefault="00F7187A" w:rsidP="00F7187A">
      <w:pPr>
        <w:numPr>
          <w:ilvl w:val="0"/>
          <w:numId w:val="13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Detailed guides &amp; examples: </w:t>
      </w:r>
    </w:p>
    <w:p w14:paraId="306ECF5C" w14:textId="77777777" w:rsidR="00F7187A" w:rsidRPr="00F7187A" w:rsidRDefault="00F7187A" w:rsidP="00F7187A">
      <w:pPr>
        <w:rPr>
          <w:sz w:val="18"/>
          <w:szCs w:val="18"/>
        </w:rPr>
      </w:pPr>
      <w:hyperlink r:id="rId10" w:history="1">
        <w:r w:rsidRPr="00F7187A">
          <w:rPr>
            <w:rStyle w:val="Hyperlink"/>
            <w:sz w:val="18"/>
            <w:szCs w:val="18"/>
          </w:rPr>
          <w:t>DataViz 101: Key Principles for Crafting Clear Dashboards</w:t>
        </w:r>
      </w:hyperlink>
      <w:r w:rsidRPr="00F7187A">
        <w:rPr>
          <w:sz w:val="18"/>
          <w:szCs w:val="18"/>
        </w:rPr>
        <w:t>|</w:t>
      </w:r>
      <w:hyperlink r:id="rId11" w:history="1">
        <w:r w:rsidRPr="00F7187A">
          <w:rPr>
            <w:rStyle w:val="Hyperlink"/>
            <w:sz w:val="18"/>
            <w:szCs w:val="18"/>
          </w:rPr>
          <w:t>Bar Charts Best Practices</w:t>
        </w:r>
      </w:hyperlink>
      <w:r w:rsidRPr="00F7187A">
        <w:rPr>
          <w:sz w:val="18"/>
          <w:szCs w:val="18"/>
        </w:rPr>
        <w:t>|</w:t>
      </w:r>
      <w:hyperlink r:id="rId12" w:history="1">
        <w:r w:rsidRPr="00F7187A">
          <w:rPr>
            <w:rStyle w:val="Hyperlink"/>
            <w:sz w:val="18"/>
            <w:szCs w:val="18"/>
          </w:rPr>
          <w:t>Line Charts Best Practices</w:t>
        </w:r>
      </w:hyperlink>
      <w:r w:rsidRPr="00F7187A">
        <w:rPr>
          <w:sz w:val="18"/>
          <w:szCs w:val="18"/>
        </w:rPr>
        <w:t xml:space="preserve"> </w:t>
      </w:r>
    </w:p>
    <w:p w14:paraId="2615DA75" w14:textId="77777777" w:rsidR="00F7187A" w:rsidRPr="00F7187A" w:rsidRDefault="00F7187A" w:rsidP="00F7187A">
      <w:pPr>
        <w:numPr>
          <w:ilvl w:val="0"/>
          <w:numId w:val="13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Optional: create a </w:t>
      </w:r>
      <w:r w:rsidRPr="00F7187A">
        <w:rPr>
          <w:b/>
          <w:bCs/>
          <w:sz w:val="18"/>
          <w:szCs w:val="18"/>
        </w:rPr>
        <w:t>heat</w:t>
      </w:r>
      <w:r w:rsidRPr="00F7187A">
        <w:rPr>
          <w:b/>
          <w:bCs/>
          <w:sz w:val="18"/>
          <w:szCs w:val="18"/>
        </w:rPr>
        <w:noBreakHyphen/>
        <w:t>map legend into a filter</w:t>
      </w:r>
      <w:r w:rsidRPr="00F7187A">
        <w:rPr>
          <w:sz w:val="18"/>
          <w:szCs w:val="18"/>
        </w:rPr>
        <w:t xml:space="preserve"> beside its chart; hide the default legend to reclaim space.</w:t>
      </w:r>
    </w:p>
    <w:p w14:paraId="2F6A92C5" w14:textId="77777777" w:rsidR="00F7187A" w:rsidRPr="00F7187A" w:rsidRDefault="00F7187A" w:rsidP="00F7187A">
      <w:pPr>
        <w:numPr>
          <w:ilvl w:val="0"/>
          <w:numId w:val="13"/>
        </w:numPr>
        <w:rPr>
          <w:sz w:val="18"/>
          <w:szCs w:val="18"/>
        </w:rPr>
      </w:pPr>
      <w:r w:rsidRPr="00F7187A">
        <w:rPr>
          <w:sz w:val="18"/>
          <w:szCs w:val="18"/>
        </w:rPr>
        <w:t>Tables: use compact cell padding, banded rows, and collapsible subtotals.</w:t>
      </w:r>
    </w:p>
    <w:p w14:paraId="268D685C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3.4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Numbers, Units &amp;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Axes</w:t>
      </w:r>
    </w:p>
    <w:p w14:paraId="19E94E44" w14:textId="77777777" w:rsidR="00F7187A" w:rsidRPr="00F7187A" w:rsidRDefault="00F7187A" w:rsidP="00F7187A">
      <w:pPr>
        <w:numPr>
          <w:ilvl w:val="0"/>
          <w:numId w:val="14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Apply number abbreviations for count/amount thousands (K), millions (M), and billions (B) </w:t>
      </w:r>
    </w:p>
    <w:p w14:paraId="266C4D10" w14:textId="21347F62" w:rsidR="00F7187A" w:rsidRPr="00F7187A" w:rsidRDefault="00F7187A" w:rsidP="00F7187A">
      <w:pPr>
        <w:numPr>
          <w:ilvl w:val="0"/>
          <w:numId w:val="14"/>
        </w:numPr>
        <w:rPr>
          <w:sz w:val="18"/>
          <w:szCs w:val="18"/>
        </w:rPr>
      </w:pPr>
      <w:r w:rsidRPr="00F7187A">
        <w:rPr>
          <w:sz w:val="18"/>
          <w:szCs w:val="18"/>
        </w:rPr>
        <w:fldChar w:fldCharType="begin"/>
      </w:r>
      <w:r w:rsidRPr="00F7187A">
        <w:rPr>
          <w:sz w:val="18"/>
          <w:szCs w:val="18"/>
        </w:rPr>
        <w:instrText xml:space="preserve"> INCLUDEPICTURE "https://pf-emoji-service--cdn.us-east-1.prod.public.atl-paas.net/atlassian/productivityEmojis/check-32px.png" \* MERGEFORMATINET </w:instrText>
      </w:r>
      <w:r w:rsidRPr="00F7187A">
        <w:rPr>
          <w:sz w:val="18"/>
          <w:szCs w:val="18"/>
        </w:rPr>
        <w:fldChar w:fldCharType="separate"/>
      </w:r>
      <w:r w:rsidRPr="00F7187A">
        <w:rPr>
          <w:sz w:val="18"/>
          <w:szCs w:val="18"/>
        </w:rPr>
        <w:drawing>
          <wp:inline distT="0" distB="0" distL="0" distR="0" wp14:anchorId="319CFBF9" wp14:editId="06F9335F">
            <wp:extent cx="253365" cy="253365"/>
            <wp:effectExtent l="0" t="0" r="635" b="635"/>
            <wp:docPr id="1575673878" name="Picture 7" descr="Check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eck 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87A">
        <w:rPr>
          <w:sz w:val="18"/>
          <w:szCs w:val="18"/>
        </w:rPr>
        <w:fldChar w:fldCharType="end"/>
      </w:r>
      <w:r w:rsidRPr="00F7187A">
        <w:rPr>
          <w:sz w:val="18"/>
          <w:szCs w:val="18"/>
        </w:rPr>
        <w:t>Remove redundant axis titles (e.g., remove date axis label “Date” ).</w:t>
      </w:r>
    </w:p>
    <w:p w14:paraId="23D527CB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3.5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Color &amp; Typography</w:t>
      </w:r>
    </w:p>
    <w:p w14:paraId="43646D70" w14:textId="77777777" w:rsidR="00F7187A" w:rsidRPr="00F7187A" w:rsidRDefault="00F7187A" w:rsidP="00F7187A">
      <w:pPr>
        <w:numPr>
          <w:ilvl w:val="0"/>
          <w:numId w:val="15"/>
        </w:numPr>
        <w:rPr>
          <w:sz w:val="18"/>
          <w:szCs w:val="18"/>
        </w:rPr>
      </w:pPr>
      <w:r w:rsidRPr="00F7187A">
        <w:rPr>
          <w:sz w:val="18"/>
          <w:szCs w:val="18"/>
        </w:rPr>
        <w:t>Set global font to Tableau/Arial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10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pt; section titles 14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pt bold; BAN digits 32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pt. (we should verify our standard)</w:t>
      </w:r>
    </w:p>
    <w:p w14:paraId="7EC74198" w14:textId="77777777" w:rsidR="00F7187A" w:rsidRPr="00F7187A" w:rsidRDefault="00F7187A" w:rsidP="00F7187A">
      <w:pPr>
        <w:numPr>
          <w:ilvl w:val="0"/>
          <w:numId w:val="15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Use color thoughtfully, to aid viewer understanding. Some tips here: </w:t>
      </w:r>
      <w:hyperlink r:id="rId13" w:history="1">
        <w:r w:rsidRPr="00F7187A">
          <w:rPr>
            <w:rStyle w:val="Hyperlink"/>
            <w:sz w:val="18"/>
            <w:szCs w:val="18"/>
          </w:rPr>
          <w:t>DataViz 101: Key Principles for Crafting Clear Dashboards</w:t>
        </w:r>
      </w:hyperlink>
      <w:r w:rsidRPr="00F7187A">
        <w:rPr>
          <w:sz w:val="18"/>
          <w:szCs w:val="18"/>
        </w:rPr>
        <w:t xml:space="preserve"> </w:t>
      </w:r>
    </w:p>
    <w:p w14:paraId="3D2C513D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3.6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Interaction &amp; Performance</w:t>
      </w:r>
    </w:p>
    <w:p w14:paraId="68357616" w14:textId="77777777" w:rsidR="00F7187A" w:rsidRPr="00F7187A" w:rsidRDefault="00F7187A" w:rsidP="00F7187A">
      <w:pPr>
        <w:numPr>
          <w:ilvl w:val="0"/>
          <w:numId w:val="16"/>
        </w:numPr>
        <w:rPr>
          <w:sz w:val="18"/>
          <w:szCs w:val="18"/>
        </w:rPr>
      </w:pPr>
      <w:r w:rsidRPr="00F7187A">
        <w:rPr>
          <w:sz w:val="18"/>
          <w:szCs w:val="18"/>
        </w:rPr>
        <w:t>Keep essential filters visible; hide chapter</w:t>
      </w:r>
      <w:r w:rsidRPr="00F7187A">
        <w:rPr>
          <w:sz w:val="18"/>
          <w:szCs w:val="18"/>
        </w:rPr>
        <w:noBreakHyphen/>
        <w:t xml:space="preserve">level filters that partner users will not see. </w:t>
      </w:r>
    </w:p>
    <w:p w14:paraId="66001D88" w14:textId="77777777" w:rsidR="00F7187A" w:rsidRPr="00F7187A" w:rsidRDefault="00F7187A" w:rsidP="00F7187A">
      <w:pPr>
        <w:numPr>
          <w:ilvl w:val="0"/>
          <w:numId w:val="16"/>
        </w:numPr>
        <w:rPr>
          <w:sz w:val="18"/>
          <w:szCs w:val="18"/>
        </w:rPr>
      </w:pPr>
      <w:r w:rsidRPr="00F7187A">
        <w:rPr>
          <w:sz w:val="18"/>
          <w:szCs w:val="18"/>
        </w:rPr>
        <w:t>Design at the final device size</w:t>
      </w:r>
    </w:p>
    <w:p w14:paraId="2D79C7B2" w14:textId="77777777" w:rsidR="00F7187A" w:rsidRPr="00F7187A" w:rsidRDefault="00F7187A" w:rsidP="00F7187A">
      <w:pPr>
        <w:rPr>
          <w:sz w:val="18"/>
          <w:szCs w:val="18"/>
        </w:rPr>
      </w:pPr>
      <w:r w:rsidRPr="00F7187A">
        <w:rPr>
          <w:noProof/>
          <w:sz w:val="18"/>
          <w:szCs w:val="18"/>
        </w:rPr>
      </w:r>
      <w:r w:rsidR="00F7187A" w:rsidRPr="00F7187A">
        <w:rPr>
          <w:noProof/>
          <w:sz w:val="18"/>
          <w:szCs w:val="18"/>
        </w:rPr>
        <w:pict w14:anchorId="6E7B4BF5">
          <v:rect id="_x0000_i1070" alt="" style="width:468pt;height:.05pt;mso-width-percent:0;mso-height-percent:0;mso-width-percent:0;mso-height-percent:0" o:hralign="center" o:hrstd="t" o:hrnoshade="t" o:hr="t" fillcolor="#292a2e" stroked="f"/>
        </w:pict>
      </w:r>
    </w:p>
    <w:p w14:paraId="33EEB09C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4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·</w:t>
      </w:r>
      <w:r w:rsidRPr="00F7187A">
        <w:rPr>
          <w:rFonts w:ascii="Arial" w:hAnsi="Arial" w:cs="Arial"/>
          <w:b/>
          <w:bCs/>
          <w:sz w:val="18"/>
          <w:szCs w:val="18"/>
        </w:rPr>
        <w:t> </w:t>
      </w:r>
      <w:r w:rsidRPr="00F7187A">
        <w:rPr>
          <w:b/>
          <w:bCs/>
          <w:sz w:val="18"/>
          <w:szCs w:val="18"/>
        </w:rPr>
        <w:t>Quality</w:t>
      </w:r>
      <w:r w:rsidRPr="00F7187A">
        <w:rPr>
          <w:b/>
          <w:bCs/>
          <w:sz w:val="18"/>
          <w:szCs w:val="18"/>
        </w:rPr>
        <w:noBreakHyphen/>
        <w:t>Gate Checklists [under construction]</w:t>
      </w:r>
    </w:p>
    <w:p w14:paraId="66FA2C4F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A. Self-QA (ready for team QA)</w:t>
      </w:r>
    </w:p>
    <w:p w14:paraId="2682B229" w14:textId="77777777" w:rsidR="00F7187A" w:rsidRPr="00F7187A" w:rsidRDefault="00F7187A" w:rsidP="00F7187A">
      <w:pPr>
        <w:numPr>
          <w:ilvl w:val="0"/>
          <w:numId w:val="17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Data labels on charts </w:t>
      </w:r>
    </w:p>
    <w:p w14:paraId="7EF9921A" w14:textId="77777777" w:rsidR="00F7187A" w:rsidRPr="00F7187A" w:rsidRDefault="00F7187A" w:rsidP="00F7187A">
      <w:pPr>
        <w:numPr>
          <w:ilvl w:val="0"/>
          <w:numId w:val="17"/>
        </w:numPr>
        <w:rPr>
          <w:sz w:val="18"/>
          <w:szCs w:val="18"/>
        </w:rPr>
      </w:pPr>
      <w:r w:rsidRPr="00F7187A">
        <w:rPr>
          <w:sz w:val="18"/>
          <w:szCs w:val="18"/>
        </w:rPr>
        <w:t xml:space="preserve">Descriptive titles </w:t>
      </w:r>
    </w:p>
    <w:p w14:paraId="4766ED06" w14:textId="77777777" w:rsidR="00F7187A" w:rsidRPr="00F7187A" w:rsidRDefault="00F7187A" w:rsidP="00F7187A">
      <w:pPr>
        <w:numPr>
          <w:ilvl w:val="0"/>
          <w:numId w:val="17"/>
        </w:numPr>
        <w:rPr>
          <w:sz w:val="18"/>
          <w:szCs w:val="18"/>
        </w:rPr>
      </w:pPr>
      <w:r w:rsidRPr="00F7187A">
        <w:rPr>
          <w:sz w:val="18"/>
          <w:szCs w:val="18"/>
        </w:rPr>
        <w:t>KPIs sourced from dbt</w:t>
      </w:r>
      <w:r w:rsidRPr="00F7187A">
        <w:rPr>
          <w:sz w:val="18"/>
          <w:szCs w:val="18"/>
        </w:rPr>
        <w:noBreakHyphen/>
        <w:t>tested models; lineage captured.</w:t>
      </w:r>
    </w:p>
    <w:p w14:paraId="529FE981" w14:textId="77777777" w:rsidR="00F7187A" w:rsidRPr="00F7187A" w:rsidRDefault="00F7187A" w:rsidP="00F7187A">
      <w:pPr>
        <w:numPr>
          <w:ilvl w:val="0"/>
          <w:numId w:val="17"/>
        </w:numPr>
        <w:rPr>
          <w:sz w:val="18"/>
          <w:szCs w:val="18"/>
        </w:rPr>
      </w:pPr>
      <w:r w:rsidRPr="00F7187A">
        <w:rPr>
          <w:sz w:val="18"/>
          <w:szCs w:val="18"/>
        </w:rPr>
        <w:t>Layout follows the two</w:t>
      </w:r>
      <w:r w:rsidRPr="00F7187A">
        <w:rPr>
          <w:sz w:val="18"/>
          <w:szCs w:val="18"/>
        </w:rPr>
        <w:noBreakHyphen/>
        <w:t>/three</w:t>
      </w:r>
      <w:r w:rsidRPr="00F7187A">
        <w:rPr>
          <w:sz w:val="18"/>
          <w:szCs w:val="18"/>
        </w:rPr>
        <w:noBreakHyphen/>
        <w:t>row template; BANs Contextualized.</w:t>
      </w:r>
    </w:p>
    <w:p w14:paraId="5BCDCA09" w14:textId="77777777" w:rsidR="00F7187A" w:rsidRPr="00F7187A" w:rsidRDefault="00F7187A" w:rsidP="00F7187A">
      <w:pPr>
        <w:numPr>
          <w:ilvl w:val="0"/>
          <w:numId w:val="17"/>
        </w:numPr>
        <w:rPr>
          <w:sz w:val="18"/>
          <w:szCs w:val="18"/>
        </w:rPr>
      </w:pPr>
      <w:r w:rsidRPr="00F7187A">
        <w:rPr>
          <w:sz w:val="18"/>
          <w:szCs w:val="18"/>
        </w:rPr>
        <w:t>Filters, tooltips, and actions tested; no dead links.</w:t>
      </w:r>
    </w:p>
    <w:p w14:paraId="00CCA2C0" w14:textId="77777777" w:rsidR="00F7187A" w:rsidRPr="00F7187A" w:rsidRDefault="00F7187A" w:rsidP="00F7187A">
      <w:pPr>
        <w:numPr>
          <w:ilvl w:val="0"/>
          <w:numId w:val="17"/>
        </w:numPr>
        <w:rPr>
          <w:sz w:val="18"/>
          <w:szCs w:val="18"/>
        </w:rPr>
      </w:pPr>
      <w:r w:rsidRPr="00F7187A">
        <w:rPr>
          <w:sz w:val="18"/>
          <w:szCs w:val="18"/>
        </w:rPr>
        <w:t>Performance: initial load &lt;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4 s; interaction latency &lt;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1 s.</w:t>
      </w:r>
    </w:p>
    <w:p w14:paraId="458C4D4E" w14:textId="77777777" w:rsidR="00F7187A" w:rsidRPr="00F7187A" w:rsidRDefault="00F7187A" w:rsidP="00F7187A">
      <w:pPr>
        <w:rPr>
          <w:b/>
          <w:bCs/>
          <w:sz w:val="18"/>
          <w:szCs w:val="18"/>
        </w:rPr>
      </w:pPr>
      <w:r w:rsidRPr="00F7187A">
        <w:rPr>
          <w:b/>
          <w:bCs/>
          <w:sz w:val="18"/>
          <w:szCs w:val="18"/>
        </w:rPr>
        <w:t>B. Stakeholder / External Partner</w:t>
      </w:r>
      <w:r w:rsidRPr="00F7187A">
        <w:rPr>
          <w:b/>
          <w:bCs/>
          <w:sz w:val="18"/>
          <w:szCs w:val="18"/>
        </w:rPr>
        <w:noBreakHyphen/>
        <w:t xml:space="preserve">Ready – </w:t>
      </w:r>
      <w:r w:rsidRPr="00F7187A">
        <w:rPr>
          <w:b/>
          <w:bCs/>
          <w:i/>
          <w:iCs/>
          <w:sz w:val="18"/>
          <w:szCs w:val="18"/>
        </w:rPr>
        <w:t>Pixel Perfect</w:t>
      </w:r>
    </w:p>
    <w:p w14:paraId="327E93F6" w14:textId="77777777" w:rsidR="00F7187A" w:rsidRPr="00F7187A" w:rsidRDefault="00F7187A" w:rsidP="00F7187A">
      <w:pPr>
        <w:numPr>
          <w:ilvl w:val="0"/>
          <w:numId w:val="18"/>
        </w:numPr>
        <w:rPr>
          <w:sz w:val="18"/>
          <w:szCs w:val="18"/>
        </w:rPr>
      </w:pPr>
      <w:r w:rsidRPr="00F7187A">
        <w:rPr>
          <w:sz w:val="18"/>
          <w:szCs w:val="18"/>
        </w:rPr>
        <w:t>color palette meets brand and accessibility guidelines (contrast ≥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4.5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:</w:t>
      </w:r>
      <w:r w:rsidRPr="00F7187A">
        <w:rPr>
          <w:rFonts w:ascii="Arial" w:hAnsi="Arial" w:cs="Arial"/>
          <w:sz w:val="18"/>
          <w:szCs w:val="18"/>
        </w:rPr>
        <w:t> </w:t>
      </w:r>
      <w:r w:rsidRPr="00F7187A">
        <w:rPr>
          <w:sz w:val="18"/>
          <w:szCs w:val="18"/>
        </w:rPr>
        <w:t>1).</w:t>
      </w:r>
    </w:p>
    <w:p w14:paraId="3CFF1584" w14:textId="77777777" w:rsidR="00F7187A" w:rsidRPr="00F7187A" w:rsidRDefault="00F7187A" w:rsidP="00F7187A">
      <w:pPr>
        <w:numPr>
          <w:ilvl w:val="0"/>
          <w:numId w:val="18"/>
        </w:numPr>
        <w:rPr>
          <w:sz w:val="18"/>
          <w:szCs w:val="18"/>
        </w:rPr>
      </w:pPr>
      <w:r w:rsidRPr="00F7187A">
        <w:rPr>
          <w:sz w:val="18"/>
          <w:szCs w:val="18"/>
        </w:rPr>
        <w:t>Number formats match style guide;</w:t>
      </w:r>
    </w:p>
    <w:p w14:paraId="20E937EE" w14:textId="77777777" w:rsidR="00F7187A" w:rsidRPr="00F7187A" w:rsidRDefault="00F7187A" w:rsidP="00F7187A">
      <w:pPr>
        <w:numPr>
          <w:ilvl w:val="0"/>
          <w:numId w:val="18"/>
        </w:numPr>
        <w:rPr>
          <w:sz w:val="18"/>
          <w:szCs w:val="18"/>
        </w:rPr>
      </w:pPr>
      <w:r w:rsidRPr="00F7187A">
        <w:rPr>
          <w:sz w:val="18"/>
          <w:szCs w:val="18"/>
        </w:rPr>
        <w:t>Tooltips Summarize the insight in one sentence; no raw SQL field names.</w:t>
      </w:r>
    </w:p>
    <w:p w14:paraId="2E136A2C" w14:textId="77777777" w:rsidR="00F7187A" w:rsidRPr="00F7187A" w:rsidRDefault="00F7187A" w:rsidP="00F7187A">
      <w:pPr>
        <w:numPr>
          <w:ilvl w:val="0"/>
          <w:numId w:val="18"/>
        </w:numPr>
        <w:rPr>
          <w:sz w:val="18"/>
          <w:szCs w:val="18"/>
        </w:rPr>
      </w:pPr>
      <w:r w:rsidRPr="00F7187A">
        <w:rPr>
          <w:sz w:val="18"/>
          <w:szCs w:val="18"/>
        </w:rPr>
        <w:t>Device preview validated on laptop, tablet, and phone layouts.</w:t>
      </w:r>
    </w:p>
    <w:p w14:paraId="39DCE31D" w14:textId="77777777" w:rsidR="00F7187A" w:rsidRPr="00F7187A" w:rsidRDefault="00F7187A" w:rsidP="00F7187A">
      <w:pPr>
        <w:numPr>
          <w:ilvl w:val="0"/>
          <w:numId w:val="18"/>
        </w:numPr>
        <w:rPr>
          <w:sz w:val="18"/>
          <w:szCs w:val="18"/>
        </w:rPr>
      </w:pPr>
      <w:r w:rsidRPr="00F7187A">
        <w:rPr>
          <w:sz w:val="18"/>
          <w:szCs w:val="18"/>
        </w:rPr>
        <w:t>Version and change</w:t>
      </w:r>
      <w:r w:rsidRPr="00F7187A">
        <w:rPr>
          <w:sz w:val="18"/>
          <w:szCs w:val="18"/>
        </w:rPr>
        <w:noBreakHyphen/>
        <w:t>log locked; stakeholder communications drafted.</w:t>
      </w:r>
    </w:p>
    <w:p w14:paraId="6A01B429" w14:textId="77777777" w:rsidR="00F7187A" w:rsidRPr="00F7187A" w:rsidRDefault="00F7187A" w:rsidP="00F7187A">
      <w:pPr>
        <w:numPr>
          <w:ilvl w:val="0"/>
          <w:numId w:val="18"/>
        </w:numPr>
        <w:rPr>
          <w:sz w:val="18"/>
          <w:szCs w:val="18"/>
        </w:rPr>
      </w:pPr>
      <w:r w:rsidRPr="00F7187A">
        <w:rPr>
          <w:sz w:val="18"/>
          <w:szCs w:val="18"/>
        </w:rPr>
        <w:t>A second analyst signs off on data accuracy and visual QA.</w:t>
      </w:r>
    </w:p>
    <w:p w14:paraId="48EC5A6E" w14:textId="77777777" w:rsidR="00945FE6" w:rsidRPr="00F7187A" w:rsidRDefault="00945FE6" w:rsidP="00F7187A">
      <w:pPr>
        <w:rPr>
          <w:sz w:val="18"/>
          <w:szCs w:val="18"/>
        </w:rPr>
      </w:pPr>
    </w:p>
    <w:sectPr w:rsidR="00945FE6" w:rsidRPr="00F7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C07"/>
    <w:multiLevelType w:val="multilevel"/>
    <w:tmpl w:val="DE34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E6279"/>
    <w:multiLevelType w:val="multilevel"/>
    <w:tmpl w:val="301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8954E5"/>
    <w:multiLevelType w:val="multilevel"/>
    <w:tmpl w:val="3B42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A3C0F"/>
    <w:multiLevelType w:val="multilevel"/>
    <w:tmpl w:val="8FC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D1BAE"/>
    <w:multiLevelType w:val="multilevel"/>
    <w:tmpl w:val="183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03CE0"/>
    <w:multiLevelType w:val="multilevel"/>
    <w:tmpl w:val="184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63A40"/>
    <w:multiLevelType w:val="multilevel"/>
    <w:tmpl w:val="C00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842375"/>
    <w:multiLevelType w:val="multilevel"/>
    <w:tmpl w:val="0DB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9C45EF"/>
    <w:multiLevelType w:val="multilevel"/>
    <w:tmpl w:val="3E88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EB0D4A"/>
    <w:multiLevelType w:val="multilevel"/>
    <w:tmpl w:val="080A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E501D9"/>
    <w:multiLevelType w:val="multilevel"/>
    <w:tmpl w:val="387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053EF7"/>
    <w:multiLevelType w:val="multilevel"/>
    <w:tmpl w:val="9E4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61AAC"/>
    <w:multiLevelType w:val="multilevel"/>
    <w:tmpl w:val="F8E8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2369D"/>
    <w:multiLevelType w:val="multilevel"/>
    <w:tmpl w:val="C30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612AB2"/>
    <w:multiLevelType w:val="multilevel"/>
    <w:tmpl w:val="310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054AF1"/>
    <w:multiLevelType w:val="multilevel"/>
    <w:tmpl w:val="762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BC0B17"/>
    <w:multiLevelType w:val="multilevel"/>
    <w:tmpl w:val="518C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35213F"/>
    <w:multiLevelType w:val="multilevel"/>
    <w:tmpl w:val="3634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408657">
    <w:abstractNumId w:val="2"/>
  </w:num>
  <w:num w:numId="2" w16cid:durableId="1437367335">
    <w:abstractNumId w:val="14"/>
  </w:num>
  <w:num w:numId="3" w16cid:durableId="188304219">
    <w:abstractNumId w:val="16"/>
  </w:num>
  <w:num w:numId="4" w16cid:durableId="1940023648">
    <w:abstractNumId w:val="10"/>
  </w:num>
  <w:num w:numId="5" w16cid:durableId="533887203">
    <w:abstractNumId w:val="13"/>
  </w:num>
  <w:num w:numId="6" w16cid:durableId="1389645265">
    <w:abstractNumId w:val="0"/>
  </w:num>
  <w:num w:numId="7" w16cid:durableId="845561600">
    <w:abstractNumId w:val="4"/>
  </w:num>
  <w:num w:numId="8" w16cid:durableId="770972136">
    <w:abstractNumId w:val="8"/>
  </w:num>
  <w:num w:numId="9" w16cid:durableId="934173757">
    <w:abstractNumId w:val="1"/>
  </w:num>
  <w:num w:numId="10" w16cid:durableId="1781146860">
    <w:abstractNumId w:val="12"/>
  </w:num>
  <w:num w:numId="11" w16cid:durableId="646982423">
    <w:abstractNumId w:val="15"/>
  </w:num>
  <w:num w:numId="12" w16cid:durableId="387798519">
    <w:abstractNumId w:val="9"/>
  </w:num>
  <w:num w:numId="13" w16cid:durableId="517161938">
    <w:abstractNumId w:val="7"/>
  </w:num>
  <w:num w:numId="14" w16cid:durableId="1585991018">
    <w:abstractNumId w:val="3"/>
  </w:num>
  <w:num w:numId="15" w16cid:durableId="1371297013">
    <w:abstractNumId w:val="5"/>
  </w:num>
  <w:num w:numId="16" w16cid:durableId="923105736">
    <w:abstractNumId w:val="17"/>
  </w:num>
  <w:num w:numId="17" w16cid:durableId="2081899912">
    <w:abstractNumId w:val="11"/>
  </w:num>
  <w:num w:numId="18" w16cid:durableId="1649556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7A"/>
    <w:rsid w:val="001528AE"/>
    <w:rsid w:val="00263E9C"/>
    <w:rsid w:val="00390D68"/>
    <w:rsid w:val="004B0F76"/>
    <w:rsid w:val="004C35C4"/>
    <w:rsid w:val="00945FE6"/>
    <w:rsid w:val="00DF145D"/>
    <w:rsid w:val="00E67B35"/>
    <w:rsid w:val="00F7187A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A963"/>
  <w15:chartTrackingRefBased/>
  <w15:docId w15:val="{96DEF3BC-03FE-B34A-A425-82ED7695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1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187A"/>
    <w:rPr>
      <w:b/>
      <w:bCs/>
    </w:rPr>
  </w:style>
  <w:style w:type="character" w:styleId="Emphasis">
    <w:name w:val="Emphasis"/>
    <w:basedOn w:val="DefaultParagraphFont"/>
    <w:uiPriority w:val="20"/>
    <w:qFormat/>
    <w:rsid w:val="00F7187A"/>
    <w:rPr>
      <w:i/>
      <w:iCs/>
    </w:rPr>
  </w:style>
  <w:style w:type="character" w:customStyle="1" w:styleId="loader-wrapper">
    <w:name w:val="loader-wrapper"/>
    <w:basedOn w:val="DefaultParagraphFont"/>
    <w:rsid w:val="00F7187A"/>
  </w:style>
  <w:style w:type="character" w:styleId="Hyperlink">
    <w:name w:val="Hyperlink"/>
    <w:basedOn w:val="DefaultParagraphFont"/>
    <w:uiPriority w:val="99"/>
    <w:unhideWhenUsed/>
    <w:rsid w:val="00F7187A"/>
    <w:rPr>
      <w:color w:val="0000FF"/>
      <w:u w:val="single"/>
    </w:rPr>
  </w:style>
  <w:style w:type="character" w:customStyle="1" w:styleId="19itglyw">
    <w:name w:val="_19itglyw"/>
    <w:basedOn w:val="DefaultParagraphFont"/>
    <w:rsid w:val="00F7187A"/>
  </w:style>
  <w:style w:type="character" w:styleId="UnresolvedMention">
    <w:name w:val="Unresolved Mention"/>
    <w:basedOn w:val="DefaultParagraphFont"/>
    <w:uiPriority w:val="99"/>
    <w:semiHidden/>
    <w:unhideWhenUsed/>
    <w:rsid w:val="00F7187A"/>
    <w:rPr>
      <w:color w:val="605E5C"/>
      <w:shd w:val="clear" w:color="auto" w:fill="E1DFDD"/>
    </w:rPr>
  </w:style>
  <w:style w:type="character" w:customStyle="1" w:styleId="19pk17rr">
    <w:name w:val="_19pk17rr"/>
    <w:basedOn w:val="DefaultParagraphFont"/>
    <w:rsid w:val="00F7187A"/>
  </w:style>
  <w:style w:type="character" w:customStyle="1" w:styleId="cc-1bw4tgx">
    <w:name w:val="cc-1bw4tgx"/>
    <w:basedOn w:val="DefaultParagraphFont"/>
    <w:rsid w:val="00F7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8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21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94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761951429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60157053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18483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7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684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7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53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537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421999876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  <w:div w:id="1657102501">
                  <w:marLeft w:val="0"/>
                  <w:marRight w:val="0"/>
                  <w:marTop w:val="0"/>
                  <w:marBottom w:val="0"/>
                  <w:divBdr>
                    <w:top w:val="single" w:sz="8" w:space="6" w:color="auto"/>
                    <w:left w:val="single" w:sz="8" w:space="6" w:color="auto"/>
                    <w:bottom w:val="single" w:sz="8" w:space="6" w:color="auto"/>
                    <w:right w:val="single" w:sz="8" w:space="6" w:color="auto"/>
                  </w:divBdr>
                </w:div>
              </w:divsChild>
            </w:div>
          </w:divsChild>
        </w:div>
        <w:div w:id="2091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5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097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3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4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80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revelations.com/bans/" TargetMode="External"/><Relationship Id="rId13" Type="http://schemas.openxmlformats.org/officeDocument/2006/relationships/hyperlink" Target="https://nastengraph.substack.com/p/dataviz-101-key-principles-for-craf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stengraph.substack.com/p/anatomy-of-the-kpi-card" TargetMode="External"/><Relationship Id="rId12" Type="http://schemas.openxmlformats.org/officeDocument/2006/relationships/hyperlink" Target="https://nastengraph.substack.com/p/line-charts-best-pract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ckstarter.com/projects/643038322/dashboard-wireframe-kit-2nd-edition" TargetMode="External"/><Relationship Id="rId11" Type="http://schemas.openxmlformats.org/officeDocument/2006/relationships/hyperlink" Target="https://nastengraph.substack.com/p/bar-charts-best-practic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astengraph.substack.com/p/dataviz-101-key-principles-for-craf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nancial-Times/chart-doctor/blob/main/visual-vocabulary/README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Binkly</dc:creator>
  <cp:keywords/>
  <dc:description/>
  <cp:lastModifiedBy>Keith Binkly</cp:lastModifiedBy>
  <cp:revision>1</cp:revision>
  <dcterms:created xsi:type="dcterms:W3CDTF">2025-07-29T19:01:00Z</dcterms:created>
  <dcterms:modified xsi:type="dcterms:W3CDTF">2025-07-29T19:03:00Z</dcterms:modified>
</cp:coreProperties>
</file>