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Master Services Agreement</w:t>
      </w:r>
    </w:p>
    <w:p>
      <w:pPr>
        <w:pStyle w:val="BodyText"/>
        <w:bidi w:val="0"/>
        <w:rPr/>
      </w:pPr>
      <w:r>
        <w:rPr/>
        <w:t>Northgate Partners LLC and Cormorant Studio, effective 1 October 2026.</w:t>
      </w:r>
    </w:p>
    <w:p>
      <w:pPr>
        <w:pStyle w:val="Heading2"/>
        <w:bidi w:val="0"/>
        <w:rPr/>
      </w:pPr>
      <w:r>
        <w:rPr/>
        <w:t>1. Scope of services</w:t>
      </w:r>
    </w:p>
    <w:p>
      <w:pPr>
        <w:pStyle w:val="BodyText"/>
        <w:bidi w:val="0"/>
        <w:rPr/>
      </w:pPr>
      <w:r>
        <w:rPr/>
        <w:t>The Provider shall perform the services described in each Statement of Work executed by both parties.</w:t>
      </w:r>
    </w:p>
    <w:p>
      <w:pPr>
        <w:pStyle w:val="Heading2"/>
        <w:bidi w:val="0"/>
        <w:rPr/>
      </w:pPr>
      <w:r>
        <w:rPr/>
        <w:t>2. Fees and payment</w:t>
      </w:r>
    </w:p>
    <w:p>
      <w:pPr>
        <w:pStyle w:val="BodyText"/>
        <w:bidi w:val="0"/>
        <w:rPr/>
      </w:pPr>
      <w:r>
        <w:rPr/>
        <w:t>The Client shall pay the fees set out below within thirty (30) days of the invoice date.</w:t>
      </w:r>
    </w:p>
    <w:tbl>
      <w:tblPr>
        <w:tblW w:w="268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2"/>
        <w:gridCol w:w="631"/>
      </w:tblGrid>
      <w:tr>
        <w:trPr/>
        <w:tc>
          <w:tcPr>
            <w:tcW w:w="2052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Service</w:t>
            </w:r>
          </w:p>
        </w:tc>
        <w:tc>
          <w:tcPr>
            <w:tcW w:w="63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Rate</w:t>
            </w:r>
          </w:p>
        </w:tc>
      </w:tr>
      <w:tr>
        <w:trPr/>
        <w:tc>
          <w:tcPr>
            <w:tcW w:w="205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Discovery and audit</w:t>
            </w:r>
          </w:p>
        </w:tc>
        <w:tc>
          <w:tcPr>
            <w:tcW w:w="6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4800</w:t>
            </w:r>
          </w:p>
        </w:tc>
      </w:tr>
      <w:tr>
        <w:trPr/>
        <w:tc>
          <w:tcPr>
            <w:tcW w:w="205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Implementation</w:t>
            </w:r>
          </w:p>
        </w:tc>
        <w:tc>
          <w:tcPr>
            <w:tcW w:w="6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185</w:t>
            </w:r>
          </w:p>
        </w:tc>
      </w:tr>
    </w:tbl>
    <w:p>
      <w:pPr>
        <w:pStyle w:val="Heading2"/>
        <w:bidi w:val="0"/>
        <w:rPr/>
      </w:pPr>
      <w:r>
        <w:rPr/>
        <w:t>3. Confidentiality</w:t>
      </w:r>
    </w:p>
    <w:p>
      <w:pPr>
        <w:pStyle w:val="BodyText"/>
        <w:bidi w:val="0"/>
        <w:spacing w:before="0" w:after="140"/>
        <w:rPr/>
      </w:pPr>
      <w:r>
        <w:rPr/>
        <w:t>Each party shall keep confidential all information disclosed by the other party for five (5) years.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Linux Libertine G" w:cs="Noto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Linux Libertine G" w:cs="Noto Sans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