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outlineLvl w:val="0"/>
        <w:rPr/>
      </w:pPr>
      <w:r>
        <w:rPr/>
        <w:t>Woodland Ave: annual review</w:t>
      </w:r>
    </w:p>
    <w:p>
      <w:pPr>
        <w:pStyle w:val="Normal"/>
        <w:bidi w:val="0"/>
        <w:rPr/>
      </w:pPr>
      <w:r>
        <w:rPr/>
        <w:t>Prepared by Sam Rivera for Pine Street Holdings, 3 July.</w:t>
      </w:r>
    </w:p>
    <w:p>
      <w:pPr>
        <w:pStyle w:val="Normal"/>
        <w:numPr>
          <w:ilvl w:val="0"/>
          <w:numId w:val="0"/>
        </w:numPr>
        <w:bidi w:val="0"/>
        <w:outlineLvl w:val="1"/>
        <w:rPr/>
      </w:pPr>
      <w:r>
        <w:rPr/>
        <w:t>What changed this year</w:t>
      </w:r>
    </w:p>
    <w:p>
      <w:pPr>
        <w:pStyle w:val="Normal"/>
        <w:bidi w:val="0"/>
        <w:rPr/>
      </w:pPr>
      <w:r>
        <w:rPr/>
        <w:t>The building was full for eleven of the twelve months, and the one vacancy was let inside three weeks. Repairs came in under the amount set aside, mostly because the roof work was deferred rather than avoided.</w:t>
      </w:r>
    </w:p>
    <w:p>
      <w:pPr>
        <w:pStyle w:val="Normal"/>
        <w:numPr>
          <w:ilvl w:val="0"/>
          <w:numId w:val="1"/>
        </w:numPr>
        <w:bidi w:val="0"/>
        <w:rPr/>
      </w:pPr>
      <w:r>
        <w:rPr/>
        <w:t>Occupancy 96 per cent, against 91 per cent last year.</w:t>
      </w:r>
    </w:p>
    <w:p>
      <w:pPr>
        <w:pStyle w:val="Normal"/>
        <w:numPr>
          <w:ilvl w:val="0"/>
          <w:numId w:val="1"/>
        </w:numPr>
        <w:bidi w:val="0"/>
        <w:rPr/>
      </w:pPr>
      <w:r>
        <w:rPr/>
        <w:t>Repairs 14,200, against 17,000 set aside.</w:t>
      </w:r>
    </w:p>
    <w:p>
      <w:pPr>
        <w:pStyle w:val="Normal"/>
        <w:numPr>
          <w:ilvl w:val="0"/>
          <w:numId w:val="1"/>
        </w:numPr>
        <w:bidi w:val="0"/>
        <w:rPr/>
      </w:pPr>
      <w:r>
        <w:rPr/>
        <w:t>One tenant on a month to month, everyone else on a term.</w:t>
      </w:r>
    </w:p>
    <w:p>
      <w:pPr>
        <w:pStyle w:val="Normal"/>
        <w:numPr>
          <w:ilvl w:val="0"/>
          <w:numId w:val="1"/>
        </w:numPr>
        <w:bidi w:val="0"/>
        <w:rPr/>
      </w:pPr>
      <w:r>
        <w:rPr/>
        <w:t>Roof survey booked for September.</w:t>
      </w:r>
    </w:p>
    <w:p>
      <w:pPr>
        <w:pStyle w:val="Normal"/>
        <w:numPr>
          <w:ilvl w:val="0"/>
          <w:numId w:val="0"/>
        </w:numPr>
        <w:bidi w:val="0"/>
        <w:outlineLvl w:val="1"/>
        <w:rPr/>
      </w:pPr>
      <w:r>
        <w:rPr/>
        <w:t>The numbers</w:t>
      </w:r>
    </w:p>
    <w:tbl>
      <w:tblPr>
        <w:tblW w:w="5000" w:type="pct"/>
        <w:jc w:val="start"/>
        <w:tblInd w:w="0" w:type="dxa"/>
        <w:tblLayout w:type="fixed"/>
        <w:tblCellMar>
          <w:top w:w="0" w:type="dxa"/>
          <w:start w:w="0" w:type="dxa"/>
          <w:bottom w:w="0" w:type="dxa"/>
          <w:end w:w="0" w:type="dxa"/>
        </w:tblCellMar>
      </w:tblPr>
      <w:tblGrid>
        <w:gridCol w:w="3312"/>
        <w:gridCol w:w="3312"/>
        <w:gridCol w:w="3312"/>
      </w:tblGrid>
      <w:tr>
        <w:trPr/>
        <w:tc>
          <w:tcPr>
            <w:tcW w:w="3312" w:type="dxa"/>
            <w:tcBorders/>
          </w:tcPr>
          <w:p>
            <w:pPr>
              <w:pStyle w:val="Normal"/>
              <w:bidi w:val="0"/>
              <w:rPr/>
            </w:pPr>
            <w:r>
              <w:rPr/>
              <w:t>Line</w:t>
            </w:r>
          </w:p>
        </w:tc>
        <w:tc>
          <w:tcPr>
            <w:tcW w:w="3312" w:type="dxa"/>
            <w:tcBorders/>
          </w:tcPr>
          <w:p>
            <w:pPr>
              <w:pStyle w:val="Normal"/>
              <w:bidi w:val="0"/>
              <w:rPr/>
            </w:pPr>
            <w:r>
              <w:rPr/>
              <w:t>This year</w:t>
            </w:r>
          </w:p>
        </w:tc>
        <w:tc>
          <w:tcPr>
            <w:tcW w:w="3312" w:type="dxa"/>
            <w:tcBorders/>
          </w:tcPr>
          <w:p>
            <w:pPr>
              <w:pStyle w:val="Normal"/>
              <w:bidi w:val="0"/>
              <w:rPr/>
            </w:pPr>
            <w:r>
              <w:rPr/>
              <w:t>Last year</w:t>
            </w:r>
          </w:p>
        </w:tc>
      </w:tr>
      <w:tr>
        <w:trPr/>
        <w:tc>
          <w:tcPr>
            <w:tcW w:w="3312" w:type="dxa"/>
            <w:tcBorders/>
          </w:tcPr>
          <w:p>
            <w:pPr>
              <w:pStyle w:val="Normal"/>
              <w:bidi w:val="0"/>
              <w:rPr/>
            </w:pPr>
            <w:r>
              <w:rPr/>
              <w:t>Rent collected</w:t>
            </w:r>
          </w:p>
        </w:tc>
        <w:tc>
          <w:tcPr>
            <w:tcW w:w="3312" w:type="dxa"/>
            <w:tcBorders/>
          </w:tcPr>
          <w:p>
            <w:pPr>
              <w:pStyle w:val="Normal"/>
              <w:bidi w:val="0"/>
              <w:rPr/>
            </w:pPr>
            <w:r>
              <w:rPr/>
              <w:t>182,400</w:t>
            </w:r>
          </w:p>
        </w:tc>
        <w:tc>
          <w:tcPr>
            <w:tcW w:w="3312" w:type="dxa"/>
            <w:tcBorders/>
          </w:tcPr>
          <w:p>
            <w:pPr>
              <w:pStyle w:val="Normal"/>
              <w:bidi w:val="0"/>
              <w:rPr/>
            </w:pPr>
            <w:r>
              <w:rPr/>
              <w:t>171,900</w:t>
            </w:r>
          </w:p>
        </w:tc>
      </w:tr>
      <w:tr>
        <w:trPr/>
        <w:tc>
          <w:tcPr>
            <w:tcW w:w="3312" w:type="dxa"/>
            <w:tcBorders/>
          </w:tcPr>
          <w:p>
            <w:pPr>
              <w:pStyle w:val="Normal"/>
              <w:bidi w:val="0"/>
              <w:rPr/>
            </w:pPr>
            <w:r>
              <w:rPr/>
              <w:t>Repairs</w:t>
            </w:r>
          </w:p>
        </w:tc>
        <w:tc>
          <w:tcPr>
            <w:tcW w:w="3312" w:type="dxa"/>
            <w:tcBorders/>
          </w:tcPr>
          <w:p>
            <w:pPr>
              <w:pStyle w:val="Normal"/>
              <w:bidi w:val="0"/>
              <w:rPr/>
            </w:pPr>
            <w:r>
              <w:rPr/>
              <w:t>14,200</w:t>
            </w:r>
          </w:p>
        </w:tc>
        <w:tc>
          <w:tcPr>
            <w:tcW w:w="3312" w:type="dxa"/>
            <w:tcBorders/>
          </w:tcPr>
          <w:p>
            <w:pPr>
              <w:pStyle w:val="Normal"/>
              <w:bidi w:val="0"/>
              <w:rPr/>
            </w:pPr>
            <w:r>
              <w:rPr/>
              <w:t>17,000</w:t>
            </w:r>
          </w:p>
        </w:tc>
      </w:tr>
      <w:tr>
        <w:trPr/>
        <w:tc>
          <w:tcPr>
            <w:tcW w:w="3312" w:type="dxa"/>
            <w:tcBorders/>
          </w:tcPr>
          <w:p>
            <w:pPr>
              <w:pStyle w:val="Normal"/>
              <w:bidi w:val="0"/>
              <w:rPr/>
            </w:pPr>
            <w:r>
              <w:rPr/>
              <w:t>Insurance</w:t>
            </w:r>
          </w:p>
        </w:tc>
        <w:tc>
          <w:tcPr>
            <w:tcW w:w="3312" w:type="dxa"/>
            <w:tcBorders/>
          </w:tcPr>
          <w:p>
            <w:pPr>
              <w:pStyle w:val="Normal"/>
              <w:bidi w:val="0"/>
              <w:rPr/>
            </w:pPr>
            <w:r>
              <w:rPr/>
              <w:t>9,800</w:t>
            </w:r>
          </w:p>
        </w:tc>
        <w:tc>
          <w:tcPr>
            <w:tcW w:w="3312" w:type="dxa"/>
            <w:tcBorders/>
          </w:tcPr>
          <w:p>
            <w:pPr>
              <w:pStyle w:val="Normal"/>
              <w:bidi w:val="0"/>
              <w:rPr/>
            </w:pPr>
            <w:r>
              <w:rPr/>
              <w:t>9,100</w:t>
            </w:r>
          </w:p>
        </w:tc>
      </w:tr>
      <w:tr>
        <w:trPr/>
        <w:tc>
          <w:tcPr>
            <w:tcW w:w="3312" w:type="dxa"/>
            <w:tcBorders/>
          </w:tcPr>
          <w:p>
            <w:pPr>
              <w:pStyle w:val="Normal"/>
              <w:bidi w:val="0"/>
              <w:rPr/>
            </w:pPr>
            <w:r>
              <w:rPr/>
              <w:t>Management</w:t>
            </w:r>
          </w:p>
        </w:tc>
        <w:tc>
          <w:tcPr>
            <w:tcW w:w="3312" w:type="dxa"/>
            <w:tcBorders/>
          </w:tcPr>
          <w:p>
            <w:pPr>
              <w:pStyle w:val="Normal"/>
              <w:bidi w:val="0"/>
              <w:rPr/>
            </w:pPr>
            <w:r>
              <w:rPr/>
              <w:t>12,600</w:t>
            </w:r>
          </w:p>
        </w:tc>
        <w:tc>
          <w:tcPr>
            <w:tcW w:w="3312" w:type="dxa"/>
            <w:tcBorders/>
          </w:tcPr>
          <w:p>
            <w:pPr>
              <w:pStyle w:val="Normal"/>
              <w:bidi w:val="0"/>
              <w:rPr/>
            </w:pPr>
            <w:r>
              <w:rPr/>
              <w:t>12,600</w:t>
            </w:r>
          </w:p>
        </w:tc>
      </w:tr>
    </w:tbl>
    <w:p>
      <w:pPr>
        <w:pStyle w:val="Normal"/>
        <w:numPr>
          <w:ilvl w:val="0"/>
          <w:numId w:val="0"/>
        </w:numPr>
        <w:bidi w:val="0"/>
        <w:outlineLvl w:val="1"/>
        <w:rPr/>
      </w:pPr>
      <w:r>
        <w:rPr/>
        <w:t>What to do next</w:t>
      </w:r>
    </w:p>
    <w:p>
      <w:pPr>
        <w:pStyle w:val="Normal"/>
        <w:bidi w:val="0"/>
        <w:rPr/>
      </w:pPr>
      <w:r>
        <w:rPr/>
        <w:t>Hold the rent where it is for the tenant on a month to month until the roof is done, then move everyone onto the same renewal date. The saving on repairs should stay set aside rather than be taken out.</w:t>
      </w:r>
    </w:p>
    <w:p>
      <w:pPr>
        <w:pStyle w:val="Normal"/>
        <w:bidi w:val="0"/>
        <w:rPr/>
      </w:pPr>
      <w:r>
        <w:rPr/>
        <w:t>Nothing in this note is agreed until the board has seen it.</w:t>
      </w:r>
    </w:p>
    <w:sectPr>
      <w:headerReference w:type="default" r:id="rId2"/>
      <w:footerReference w:type="default" r:id="rId3"/>
      <w:type w:val="nextPage"/>
      <w:pgSz w:w="12240" w:h="15840"/>
      <w:pgMar w:left="1152" w:right="1152" w:gutter="0" w:header="1152" w:top="1584" w:footer="1152" w:bottom="158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tarbat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rPr/>
    </w:pPr>
    <w:r>
      <w:rPr/>
      <w:t>Woodland Ave annual review, 3 July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rPr/>
    </w:pPr>
    <w:r>
      <w:rPr/>
      <w:t>Pine Street Holdings, in confidence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tarbats" w:hAnsi="starbats" w:cs="starbat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nux Libertine G" w:cs="Noto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