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*BC only tested at 250, 500, 1000, 2000, and 4000 Hz.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*Bilateral- both ears with pathology that vary by +/- 10 dB between ears.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*Unilateral- one ear with pathology, one ear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Normal Hearing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within -10 to 25 dB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for a specific freq must be within 10 dB of each other.  BC value will be a lower or equal numerical value as the AC. (BC≤ AC)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Consecutive freqs are no more than 10 dB apart for AC and BC.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*Otitis Media can have a low freq loss or a flat loss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Otitis Media (Low freq loss)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Max AC 60 dB for 250 and 500 Hz.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Max AC for 1000-8000 Hz within normal hearing range (see above)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Max BC 25 dB for all freqs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for 250 and 500 Hz must be 15 dB or more apart.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within 10 dB of each other for a given freq for freqs 1000-8000 Hz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Drop between 500 and 1000 Hz 20-40 dB difference.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Otitis Media (Flat loss)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Max AC 60 dB for all freqs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Max BC 25 dB for all freqs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must be at least 15 dB apart at each freq across all freqs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Consecutive freqs within 10 dB for both AC and 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Otosclerosis (bilateral)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BC Thresholds&lt; 15 dB except for a threshold= 20-30 dB @ 2 k Hz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thresholds 30-60 dB.  Consecutive frequencies must be within 5 dB.  Loss is relatively flat: 250 and 8k should be within +/-10 dB.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must be 15 dB or greater apart (except @ 2Khz should be within 10 dB).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Otoslcerosis (Low freq loss)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BC Thresholds</w:t>
      </w:r>
      <w:r w:rsidRPr="00000000" w:rsidR="00000000" w:rsidDel="00000000">
        <w:rPr>
          <w:rFonts w:cs="Calibri" w:hAnsi="Calibri" w:eastAsia="Calibri" w:ascii="Calibri"/>
          <w:sz w:val="24"/>
          <w:u w:val="single"/>
          <w:rtl w:val="0"/>
        </w:rPr>
        <w:t xml:space="preserve">&lt;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15 dB except for a threshold= 20 dB @ 2 k Hz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thresholds 25-60 dB.  Consecutive frequencies must be within 5 dB.  250 and 500 Hz must be below all other AC threshold levels.  500 should be 10-20 dB below 1kHz.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must be 15 dB or greater apart.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Ossicular Discontinuity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All BC within normal range (see above)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Consecutive freqs are no more than 10 dB apart for BC.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30 -60 dB.  Must be 15 dB or greater from BC at each freq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Microtia with Atresia </w:t>
      </w:r>
      <w:r w:rsidRPr="00000000" w:rsidR="00000000" w:rsidDel="00000000">
        <w:rPr>
          <w:sz w:val="24"/>
          <w:rtl w:val="0"/>
        </w:rPr>
        <w:t xml:space="preserve">*Name Change! (This is the same config as Ossicular Discontinuity and Flat Otitis Media.  Case Hx different)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All BC within normal range (see above)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Consecutive freqs are no more than 10 dB apart for BC.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30 -60 dB.  Must be 15 dB or greater from BC at each freq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Presbycusis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for a specific freq must be within 10 dB of each other.  BC value will be a lower or equal numerical value as the AC. (BC≤ AC)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250 and 500 Hz @ 10-40 dB.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250 and 500 Hz are within +/-5 dB.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From 500 Hz, consequent frequencies must become higher in numerical value, ranging from differences from 5 dB to 20dB between consecutive freqs.  Acceptable range for 1000-8000 Hz is 45 dB to limits of audiometer.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20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Right and Left ears +/-5 dB at all freqs for AC and BC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Acoustic Tumor (8</w:t>
      </w:r>
      <w:r w:rsidRPr="00000000" w:rsidR="00000000" w:rsidDel="00000000">
        <w:rPr>
          <w:sz w:val="24"/>
          <w:u w:val="single"/>
          <w:vertAlign w:val="superscript"/>
          <w:rtl w:val="0"/>
        </w:rPr>
        <w:t xml:space="preserve">th</w:t>
      </w:r>
      <w:r w:rsidRPr="00000000" w:rsidR="00000000" w:rsidDel="00000000">
        <w:rPr>
          <w:sz w:val="24"/>
          <w:u w:val="single"/>
          <w:rtl w:val="0"/>
        </w:rPr>
        <w:t xml:space="preserve"> nerve tumor)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sz w:val="24"/>
          <w:u w:val="singl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for a specific freq must be within 10 dB of each other.  BC value will be a lower or equal numerical value as the AC. (BC≤ AC)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Normal hearing through 1000 Hz (see above)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From 1000 Hz, consequent frequencies must become higher in numerical value, ranging from differences from 5 dB to 20dB between consecutive freqs.  Acceptable range for 2000-8000 Hz is 30 dB to limits of audiometer.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Meniere’s Disease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One ear normal hearing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within 5 dB of each other at each freq for all freqs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BC</w:t>
      </w:r>
      <w:r w:rsidRPr="00000000" w:rsidR="00000000" w:rsidDel="00000000">
        <w:rPr>
          <w:rFonts w:cs="Calibri" w:hAnsi="Calibri" w:eastAsia="Calibri" w:ascii="Calibri"/>
          <w:sz w:val="24"/>
          <w:u w:val="single"/>
          <w:rtl w:val="0"/>
        </w:rPr>
        <w:t xml:space="preserve">&lt;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AC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Range 40-90 dB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Consecutive freqs within +/-10 dB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8k and 250 Hz should be within 15dB of each other (flat loss)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Noise Induced Trauma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 and BC within 10 dB of each other at each freq for all freqs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BC≤ AC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250-2000 Hz normal hearing (see above)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4000 Hz 20-50 dB drop from 2000 Hz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8000 Hz 10-20 dB higher (lower numerical value) than 4000 Hz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Right and Left ears +/-10 dB for 250-2000 Hz.  4000-8000 Hz +/-20 between ears (Distance between ears at 4000, must be the same at 8000)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Pathology Ranges.docx</dc:title>
</cp:coreProperties>
</file>