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61C5C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 Valuation Model</w:t>
      </w:r>
    </w:p>
    <w:p w14:paraId="30EE578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2A10B9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description: Build a rigorous, multi-method intrinsic valuation for any stock that has passed Framework 1 and Framework 2 screening. Produces a defensible target price range through DCF analysis, comparable company multiples, and a three-scenario (Bull/Base/Bear) sensitivity table. Specifically calibrated for high-growth technology and AI infrastructure companies. Triggers on "give me a valuation", "what is this stock worth", "target price", "DCF", "fair value", "upside/downside", "is it cheap or expensive", "valuation model", "price target", or "entry price zone".</w:t>
      </w:r>
    </w:p>
    <w:p w14:paraId="3746A47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C20C97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00DEB33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A8D8FD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Role &amp; Task Setting</w:t>
      </w:r>
    </w:p>
    <w:p w14:paraId="23D4A6B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00C9DE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You are a senior Buy-side equity analyst with a deep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specialisation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in growth and technology sector valuation. A stock has already passed Framework 1 (fundamental screening) and Framework 2 (business model deep dive). Your task is now to answer the single most important question an investor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faces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:</w:t>
      </w:r>
    </w:p>
    <w:p w14:paraId="6F12CEE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F987D4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**"At the current price, is this a good risk/reward bet — and what is it actually worth?"**</w:t>
      </w:r>
    </w:p>
    <w:p w14:paraId="580A4B3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DF4F2B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You will apply a three-pillar valuation framework and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synthesise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the results into a single, actionable price target range with clearly stated assumptions.</w:t>
      </w:r>
    </w:p>
    <w:p w14:paraId="59115AD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9D6883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0634F3A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874650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Pre-Work: Inputs Required</w:t>
      </w:r>
    </w:p>
    <w:p w14:paraId="64546DB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602242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Before beginning any calculation, gather the following data points:</w:t>
      </w:r>
    </w:p>
    <w:p w14:paraId="6B32C79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6208FC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**Company Fundamentals (most recent quarter +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TTM)*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7A38928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Revenue (TTM and most recent quarter), YoY growth rate</w:t>
      </w:r>
    </w:p>
    <w:p w14:paraId="675AC2C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Non-GAAP Gross Margin (TTM)</w:t>
      </w:r>
    </w:p>
    <w:p w14:paraId="1FEE1AF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Non-GAAP Operating Margin (TTM)</w:t>
      </w:r>
    </w:p>
    <w:p w14:paraId="0C8C453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Free Cash Flow (TTM) and FCF Margin</w:t>
      </w:r>
    </w:p>
    <w:p w14:paraId="7C47917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- Net Cash / (Net Debt) position</w:t>
      </w:r>
    </w:p>
    <w:p w14:paraId="60A4573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Diluted share count (fully diluted, including warrants and options)</w:t>
      </w:r>
    </w:p>
    <w:p w14:paraId="1BB2189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Current stock price and market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capitalisation</w:t>
      </w:r>
      <w:proofErr w:type="spellEnd"/>
    </w:p>
    <w:p w14:paraId="1A673E1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5C6BAC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**Forward Estimates (consensus or management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guidance)*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33F8086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Revenue forecast: current year, next year, Year+2</w:t>
      </w:r>
    </w:p>
    <w:p w14:paraId="4D676CC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EPS (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Non-GAAP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 forecast: current year, next year</w:t>
      </w:r>
    </w:p>
    <w:p w14:paraId="13C3DBF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Gross margin trajectory (expanding / stable / compressing)</w:t>
      </w:r>
    </w:p>
    <w:p w14:paraId="5BDA60E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3C382E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**Peer Comparable Companies**</w:t>
      </w:r>
    </w:p>
    <w:p w14:paraId="5E810E9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Identify 4–6 comparable companies (similar growth profile, business model, end market)</w:t>
      </w:r>
    </w:p>
    <w:p w14:paraId="18188AD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Gather their EV/Revenue, EV/EBITDA, and P/E (forward) multiples</w:t>
      </w:r>
    </w:p>
    <w:p w14:paraId="0092725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D38EAC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5B932A6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7CECEE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1: DCF Analysis (Intrinsic Value Anchor)</w:t>
      </w:r>
    </w:p>
    <w:p w14:paraId="13E36FF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74B5BF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The DCF is the backbone of the valuation. For high-growth technology companies, use a two-stage model: a high-growth phase (Years 1–5) and a terminal phase (Years 6–10 tapering to terminal).</w:t>
      </w:r>
    </w:p>
    <w:p w14:paraId="411377D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2E8F83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Stage 1: Revenue &amp; Margin Assumptions (Years 1–5)</w:t>
      </w:r>
    </w:p>
    <w:p w14:paraId="5E86A3D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E48CE8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Build explicit annual projections for:</w:t>
      </w:r>
    </w:p>
    <w:p w14:paraId="7A2876F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D6A000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Year | Revenue ($B) | YoY Growth | Non-GAAP Op. Margin | NOPAT ($B) |</w:t>
      </w:r>
    </w:p>
    <w:p w14:paraId="668F31C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|------|-------------|------------|---------------------|------------|</w:t>
      </w:r>
    </w:p>
    <w:p w14:paraId="1E76870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Y1 | | | | |</w:t>
      </w:r>
    </w:p>
    <w:p w14:paraId="4426CD3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Y2 | | | | |</w:t>
      </w:r>
    </w:p>
    <w:p w14:paraId="1F9AACB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Y3 | | | | |</w:t>
      </w:r>
    </w:p>
    <w:p w14:paraId="0BE1A3A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Y4 | | | | |</w:t>
      </w:r>
    </w:p>
    <w:p w14:paraId="6A4F309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Y5 | | | | |</w:t>
      </w:r>
    </w:p>
    <w:p w14:paraId="7B07767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85928E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**Calibration rules for growth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stocks:*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3F83B04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Y1–Y2 growth: anchor to management guidance and consensus. Do NOT deviate more than ±5% without a stated reason.</w:t>
      </w:r>
    </w:p>
    <w:p w14:paraId="3A0ED67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 xml:space="preserve">- Y3–Y5 growth: apply a gradual deceleration curve (e.g., if Y2 is +40%, model Y3–Y5 as +32% / +25% / +18%) unless there is structural evidence of sustained acceleration (e.g., multi-year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hyperscaler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contracts with committed volumes).</w:t>
      </w:r>
    </w:p>
    <w:p w14:paraId="66461C9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Gross margin: use current trajectory. For fabless semiconductor companies, model GM expanding 100–200bps per year as data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centre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mix increases and custom silicon matures.</w:t>
      </w:r>
    </w:p>
    <w:p w14:paraId="2AC3E81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Operating margin: apply operating leverage. For every 10% revenue growth, operating margin should expand 100–200bps if the company is scaling efficiently. If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OpEx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is growing FASTER than revenue,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penalise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the margin expansion assumption.</w:t>
      </w:r>
    </w:p>
    <w:p w14:paraId="38AC3B6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270F32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Stage 2: Terminal Value (Years 6–10 + Perpetuity)</w:t>
      </w:r>
    </w:p>
    <w:p w14:paraId="022E0E1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BDF752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Years 6–10: taper revenue growth to a long-run sustainable rate (typically 8–15% for AI infrastructure leaders, 4–8% for mature technology companies).</w:t>
      </w:r>
    </w:p>
    <w:p w14:paraId="069E291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Terminal Year: apply a terminal growth rate (g) of 3–4% (in line with long-run nominal GDP growth).</w:t>
      </w:r>
    </w:p>
    <w:p w14:paraId="7C9C4D7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Terminal FCF Margin: use the long-run FCF margin implied by the peer group or management's stated long-term targets.</w:t>
      </w:r>
    </w:p>
    <w:p w14:paraId="1354F22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CDB6C4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**Terminal Value = Terminal Year FCF × (1 + g) / (WACC –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g)*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48D6E2D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6CA6C7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Step 3: Discount Rate (WACC)</w:t>
      </w:r>
    </w:p>
    <w:p w14:paraId="4EB0CB5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F75402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For high-growth technology companies, use the following as a starting framework:</w:t>
      </w:r>
    </w:p>
    <w:p w14:paraId="002A6AC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64E91D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Company Type | Suggested WACC Range |</w:t>
      </w:r>
    </w:p>
    <w:p w14:paraId="3F3D6DC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|-------------|---------------------|</w:t>
      </w:r>
    </w:p>
    <w:p w14:paraId="32AA160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Profitable AI/semiconductor leader (e.g., AMD, NVDA) | 9% – 11% |</w:t>
      </w:r>
    </w:p>
    <w:p w14:paraId="421C127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High-growth SaaS with positive FCF | 10% – 12% |</w:t>
      </w:r>
    </w:p>
    <w:p w14:paraId="49FD25B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Pre-profit growth stock | 12% – 15% |</w:t>
      </w:r>
    </w:p>
    <w:p w14:paraId="0F9D9A9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Speculative / pre-revenue | 15% – 20% |</w:t>
      </w:r>
    </w:p>
    <w:p w14:paraId="2C3FEE3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BA294A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**Sensitivity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note:*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Always run the DCF at WACC ± 1% and terminal growth rate ± 0.5%. Small changes in these inputs cause large swings in intrinsic value — this is precisely why a range matters more than a point estimate.</w:t>
      </w:r>
    </w:p>
    <w:p w14:paraId="172D173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 </w:t>
      </w:r>
    </w:p>
    <w:p w14:paraId="37DF94C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DCF Output</w:t>
      </w:r>
    </w:p>
    <w:p w14:paraId="175C932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58623B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Sum of discounted cash flows (Years 1–10) + discounted terminal value = Enterprise Value</w:t>
      </w:r>
    </w:p>
    <w:p w14:paraId="161540E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Add: Net Cash / Subtract: Net Debt → Equity Value</w:t>
      </w:r>
    </w:p>
    <w:p w14:paraId="4867CFC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Divide by fully diluted share count → **DCF Intrinsic Value Per Share**</w:t>
      </w:r>
    </w:p>
    <w:p w14:paraId="519C15A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BF6D51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State clearly:</w:t>
      </w:r>
    </w:p>
    <w:p w14:paraId="7759F37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Base Case DCF: $XX</w:t>
      </w:r>
    </w:p>
    <w:p w14:paraId="50DE6F9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Bull Case DCF (WACC –1%, growth +2ppt): $XX</w:t>
      </w:r>
    </w:p>
    <w:p w14:paraId="006C508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Bear Case DCF (WACC +1%, growth –3ppt): $XX</w:t>
      </w:r>
    </w:p>
    <w:p w14:paraId="5659D58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F61ACB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712C5D9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E0E897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2: Comparable Company Analysis (Market Anchor)</w:t>
      </w:r>
    </w:p>
    <w:p w14:paraId="1EBDB6B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F173B5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The DCF tells you what the stock is worth in isolation. The comps tell you what the market is currently willing to pay for a similar business.</w:t>
      </w:r>
    </w:p>
    <w:p w14:paraId="694C163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6FC992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Peer Selection Criteria</w:t>
      </w:r>
    </w:p>
    <w:p w14:paraId="438BC22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3A46EB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Select 4–6 companies that match on:</w:t>
      </w:r>
    </w:p>
    <w:p w14:paraId="3637674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1. **Business model** (fabless chip / SaaS /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hyperscaler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/ etc.)</w:t>
      </w:r>
    </w:p>
    <w:p w14:paraId="0682B72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2. **Growth rate** (within ±15% of the target's forward revenue growth)</w:t>
      </w:r>
    </w:p>
    <w:p w14:paraId="5FB87C1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3. **Margin profile** (similar gross margin band)</w:t>
      </w:r>
    </w:p>
    <w:p w14:paraId="437DC8B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4. **End market exposure** (AI infrastructure / cloud / enterprise software / etc.)</w:t>
      </w:r>
    </w:p>
    <w:p w14:paraId="4B8AC59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5CAFDE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Comparable Company Table</w:t>
      </w:r>
    </w:p>
    <w:p w14:paraId="777B952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B1509C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Company | EV/Rev (NTM) | EV/GP (NTM) |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Fwd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P/E | Revenue Growth (NTM) | FCF Margin | PEG |</w:t>
      </w:r>
    </w:p>
    <w:p w14:paraId="5123E0D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|---------|-------------|------------|---------|---------------------|------------|-----|</w:t>
      </w:r>
    </w:p>
    <w:p w14:paraId="68758CF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Peer 1 | | | | | | |</w:t>
      </w:r>
    </w:p>
    <w:p w14:paraId="00AED3E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Peer 2 | | | | | | |</w:t>
      </w:r>
    </w:p>
    <w:p w14:paraId="4E04006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Peer 3 | | | | | | |</w:t>
      </w:r>
    </w:p>
    <w:p w14:paraId="0A909E8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| Peer 4 | | | | | | |</w:t>
      </w:r>
    </w:p>
    <w:p w14:paraId="691E72F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**Mean**| | | | | | |</w:t>
      </w:r>
    </w:p>
    <w:p w14:paraId="502C4F7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**Median**| | | | | | |</w:t>
      </w:r>
    </w:p>
    <w:p w14:paraId="4EF209E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**Target Co.**| | | | | | |</w:t>
      </w:r>
    </w:p>
    <w:p w14:paraId="3672FC8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**Premium / (Discount)**| | | | | |</w:t>
      </w:r>
    </w:p>
    <w:p w14:paraId="744E621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E15FC2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Implied Valuation from Comps</w:t>
      </w:r>
    </w:p>
    <w:p w14:paraId="2C7717F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FDE662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Apply the peer median (or mean, stated explicitly) multiple to the target company's forward metric:</w:t>
      </w:r>
    </w:p>
    <w:p w14:paraId="420275D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370448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**EV/Revenue implied price** = Peer Median NTM EV/Rev × Target NTM Revenue ÷ Diluted Shares + Net Cash per Share</w:t>
      </w:r>
    </w:p>
    <w:p w14:paraId="3501AD1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**P/E implied price** = Peer Median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Fwd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P/E × Target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Fwd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Non-GAAP EPS</w:t>
      </w:r>
    </w:p>
    <w:p w14:paraId="1C59E7C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**PEG implied price** = If PEG &lt; 1.0 = likely undervalued vs. peers; &gt; 2.0 = significant premium</w:t>
      </w:r>
    </w:p>
    <w:p w14:paraId="401CAAE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6D47CC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**Premium/Discount Justification Rule:** If the target trades at a premium to peers, you must explicitly state the premium driver (e.g., "AMD trades at 1.4× the peer median EV/Rev, justified by 2× the peer median revenue growth rate and uniquely committed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hyperscaler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pipeline visibility"). If the premium cannot be justified, flag it as a valuation risk.</w:t>
      </w:r>
    </w:p>
    <w:p w14:paraId="40C41F4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EF1EFF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628ECD0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B5BCB7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3: Growth-Adjusted Multiples (Rule of 40 &amp; FCF Yield)</w:t>
      </w:r>
    </w:p>
    <w:p w14:paraId="2B99C39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4F046A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For high-growth technology companies, traditional P/E ratios are often misleading during the investment phase. Use these supplementary lenses:</w:t>
      </w:r>
    </w:p>
    <w:p w14:paraId="50D3384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221E94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Rule of 40</w:t>
      </w:r>
    </w:p>
    <w:p w14:paraId="7A00516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94047E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**Rule of 40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Score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= Revenue Growth Rate (%) + FCF Margin (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%)*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3213D85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E5E5C1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Score | Interpretation |</w:t>
      </w:r>
    </w:p>
    <w:p w14:paraId="44FFAED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|-------|---------------|</w:t>
      </w:r>
    </w:p>
    <w:p w14:paraId="1FE2D80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&gt; 60 | Elite. Justifies premium valuation (top decile of growth stocks) |</w:t>
      </w:r>
    </w:p>
    <w:p w14:paraId="5C8561C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40–60 | Strong. Supports market-rate or moderate premium multiples |</w:t>
      </w:r>
    </w:p>
    <w:p w14:paraId="0405BB3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| 20–40 | Adequate. Warrants scrutiny on whether growth is decelerating |</w:t>
      </w:r>
    </w:p>
    <w:p w14:paraId="6AECA46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&lt; 20 | Concerning. Company may be sacrificing efficiency for growth |</w:t>
      </w:r>
    </w:p>
    <w:p w14:paraId="136B87F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F4CD1E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Note:*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For semiconductor companies (asset-heavy, capital-cycle-dependent), the Rule of 40 is less directly applicable than for SaaS. Weight FCF yield more heavily instead.</w:t>
      </w:r>
    </w:p>
    <w:p w14:paraId="611D27F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694010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FCF Yield</w:t>
      </w:r>
    </w:p>
    <w:p w14:paraId="66F86DD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39BAEF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**FCF Yield = TTM FCF / Market Cap × 100%**</w:t>
      </w:r>
    </w:p>
    <w:p w14:paraId="669356D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D76BF7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FCF Yield &gt; 3%: Reasonable for a high-growth company</w:t>
      </w:r>
    </w:p>
    <w:p w14:paraId="0F9CC1E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FCF Yield &gt; 5%: Compelling absolute value</w:t>
      </w:r>
    </w:p>
    <w:p w14:paraId="0BC87EB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FCF Yield &lt; 1%: Company is priced for near-perfection; execution risk is high</w:t>
      </w:r>
    </w:p>
    <w:p w14:paraId="25B0D46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BD0F1D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Price/FCF vs. Growth Rate</w:t>
      </w:r>
    </w:p>
    <w:p w14:paraId="69DACC6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9E14D1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Plot the company's Price/FCF ratio against its 3-year forward FCF CAGR. If the Price/FCF is lower than the FCF CAGR, the stock is potentially undervalued on a growth-adjusted basis (PEG &lt; 1 equivalent for cash flow).</w:t>
      </w:r>
    </w:p>
    <w:p w14:paraId="2357168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F07916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4062194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E6F774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4: Three-Scenario Synthesis</w:t>
      </w:r>
    </w:p>
    <w:p w14:paraId="653ECBA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516E99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Combine the DCF range, comps-implied range, and qualitative assessment to produce a final three-scenario target price table.</w:t>
      </w:r>
    </w:p>
    <w:p w14:paraId="4B0BC9E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E4D756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Scenario Construction Rules</w:t>
      </w:r>
    </w:p>
    <w:p w14:paraId="1C9E3CD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D9031E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Each scenario must have:</w:t>
      </w:r>
    </w:p>
    <w:p w14:paraId="1FD7878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1. A named catalyst or assumption set (not just "optimistic/pessimistic")</w:t>
      </w:r>
    </w:p>
    <w:p w14:paraId="2A76C4E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2. A specific revenue and margin assumption</w:t>
      </w:r>
    </w:p>
    <w:p w14:paraId="296D4FC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3. A specific multiple applied</w:t>
      </w:r>
    </w:p>
    <w:p w14:paraId="619A480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4. A resulting target price</w:t>
      </w:r>
    </w:p>
    <w:p w14:paraId="76CB14D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5. An estimated probability weight</w:t>
      </w:r>
    </w:p>
    <w:p w14:paraId="67EBF23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1B928E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| Scenario | Name | Key Assumption | Revenue (NTM) | Margin | Multiple Applied | Target Price | Probability |</w:t>
      </w:r>
    </w:p>
    <w:p w14:paraId="176269A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|----------|------|---------------|---------------|--------|-----------------|-------------|-------------|</w:t>
      </w:r>
    </w:p>
    <w:p w14:paraId="357CEA3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</w:t>
      </w:r>
      <w:r w:rsidRPr="0098641F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🐂</w:t>
      </w: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Bull | | | | | | $XX | XX% |</w:t>
      </w:r>
    </w:p>
    <w:p w14:paraId="1431133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</w:t>
      </w:r>
      <w:r w:rsidRPr="0098641F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📊</w:t>
      </w: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Base | | | | | | $XX | XX% |</w:t>
      </w:r>
    </w:p>
    <w:p w14:paraId="39BA444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</w:t>
      </w:r>
      <w:r w:rsidRPr="0098641F">
        <w:rPr>
          <w:rFonts w:ascii="Apple Color Emoji" w:eastAsia="Times New Roman" w:hAnsi="Apple Color Emoji" w:cs="Apple Color Emoji"/>
          <w:color w:val="0B0B0B"/>
          <w:kern w:val="0"/>
          <w:sz w:val="18"/>
          <w:szCs w:val="18"/>
          <w14:ligatures w14:val="none"/>
        </w:rPr>
        <w:t>🐻</w:t>
      </w: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Bear | | | | | | $XX | XX% |</w:t>
      </w:r>
    </w:p>
    <w:p w14:paraId="39D911F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**Probability-Weighted Target** | | | | | | **$XX** | 100% |</w:t>
      </w:r>
    </w:p>
    <w:p w14:paraId="5793B60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8BA2CD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**Scenario naming conventions (examples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7956095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Bull: "Helios on-time,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hyperscaler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capex accelerates, gross margin expands to 58%"</w:t>
      </w:r>
    </w:p>
    <w:p w14:paraId="74B1506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Base: "MI450 ramp as guided, margins stable at 55–56%, no China restriction escalation"</w:t>
      </w:r>
    </w:p>
    <w:p w14:paraId="51658A2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Bear: "MI450 delayed to Q1'27,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hyperscaler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digestion quarter, margin compression to 52%"</w:t>
      </w:r>
    </w:p>
    <w:p w14:paraId="3F71F02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117F1C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Upside / Downside to Current Price</w:t>
      </w:r>
    </w:p>
    <w:p w14:paraId="5EA3035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EC3BBE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Metric | Value |</w:t>
      </w:r>
    </w:p>
    <w:p w14:paraId="260B851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|--------|-------|</w:t>
      </w:r>
    </w:p>
    <w:p w14:paraId="22FCF7A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Current Price | $XX |</w:t>
      </w:r>
    </w:p>
    <w:p w14:paraId="5DB6968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Probability-Weighted Target | $XX |</w:t>
      </w:r>
    </w:p>
    <w:p w14:paraId="40B92AA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Bull Case Target | $XX (+XX%) |</w:t>
      </w:r>
    </w:p>
    <w:p w14:paraId="1AA64DA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Base Case Target | $XX (+/-XX%) |</w:t>
      </w:r>
    </w:p>
    <w:p w14:paraId="78FE5C6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Bear Case Target | $XX (–XX%) |</w:t>
      </w:r>
    </w:p>
    <w:p w14:paraId="512BDFF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| Risk/Reward Ratio (Bull Upside ÷ Bear Downside) |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X.X :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1 |</w:t>
      </w:r>
    </w:p>
    <w:p w14:paraId="1B3BED0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5003D3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**Decision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rule:*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A risk/reward ratio above 2:1 (Bull upside is at least 2× the Bear downside) is generally required to justify initiating or adding to a position.</w:t>
      </w:r>
    </w:p>
    <w:p w14:paraId="553A535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99CB01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4B1D0B2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44176A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Step 5: Valuation vs. Current Portfolio Positioning</w:t>
      </w:r>
    </w:p>
    <w:p w14:paraId="4E71302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750C89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After completing the valuation, cross-reference against the user's IB account holdings:</w:t>
      </w:r>
    </w:p>
    <w:p w14:paraId="212D32B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 </w:t>
      </w:r>
    </w:p>
    <w:p w14:paraId="5DFE42E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**Current position size and average cost**</w:t>
      </w:r>
    </w:p>
    <w:p w14:paraId="7E58B3B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Unrealised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gain/loss vs. Base Case target** — Is the easy money already made?</w:t>
      </w:r>
    </w:p>
    <w:p w14:paraId="2BF4391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**Upside to Bull Case vs. downside to Bear Case** — Does the position size reflect the asymmetry?</w:t>
      </w:r>
    </w:p>
    <w:p w14:paraId="53401D79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**Options positioning** — If the stock is trading near or above the Base Case target, are protective puts appropriately positioned? If significant upside remains, are LEAPS a more capital-efficient expression?</w:t>
      </w:r>
    </w:p>
    <w:p w14:paraId="5DB7822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409BC4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**Specific recommendation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outputs:*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</w:t>
      </w:r>
    </w:p>
    <w:p w14:paraId="6489F2D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**Initiate /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Add:*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Stock trades below probability-weighted target with R/R &gt; 2:1</w:t>
      </w:r>
    </w:p>
    <w:p w14:paraId="1B373C7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**Hold / No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action:*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Stock near probability-weighted target; thesis intact but limited incremental upside</w:t>
      </w:r>
    </w:p>
    <w:p w14:paraId="31185B5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Trim:*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Stock above Bull Case target OR risk/reward has deteriorated below 1.5:1</w:t>
      </w:r>
    </w:p>
    <w:p w14:paraId="0E74902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 **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Exit:*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 Thesis broken (Bear Case assumptions are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materialising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) OR better risk/reward opportunity identified elsewhere</w:t>
      </w:r>
    </w:p>
    <w:p w14:paraId="28CA7AC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AD461D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40B9FDC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A4A57A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Output Format</w:t>
      </w:r>
    </w:p>
    <w:p w14:paraId="51113B4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D1C8AB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Section 1: Valuation Summary Dashboard</w:t>
      </w:r>
    </w:p>
    <w:p w14:paraId="6B0303A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6DAFB75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Method | Implied Value | Weight | Weighted Contribution |</w:t>
      </w:r>
    </w:p>
    <w:p w14:paraId="091A76AE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|--------|--------------|--------|----------------------|</w:t>
      </w:r>
    </w:p>
    <w:p w14:paraId="5747A97B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DCF — Base Case | $XX | 40% | $XX |</w:t>
      </w:r>
    </w:p>
    <w:p w14:paraId="733DBD5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Comps — EV/Revenue | $XX | 30% | $XX |</w:t>
      </w:r>
    </w:p>
    <w:p w14:paraId="2295441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Comps — P/E | $XX | 20% | $XX |</w:t>
      </w:r>
    </w:p>
    <w:p w14:paraId="5361001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FCF Yield Anchor | $XX | 10% | $XX |</w:t>
      </w:r>
    </w:p>
    <w:p w14:paraId="4B4D49D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| **Blended Fair Value** | | 100% | **$XX** |</w:t>
      </w:r>
    </w:p>
    <w:p w14:paraId="6F17CFD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F8D778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Section 2: Scenario Table (from Step 4)</w:t>
      </w:r>
    </w:p>
    <w:p w14:paraId="712F124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5DD8D2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Section 3: Key Assumptions &amp; Sensitivity</w:t>
      </w:r>
    </w:p>
    <w:p w14:paraId="0F7CFD2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9081E1A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>State the 3 variables the valuation is most sensitive to and the impact of changing each by ±10%.</w:t>
      </w:r>
    </w:p>
    <w:p w14:paraId="5777A4FC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40133B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### Section 4: Portfolio Action Recommendation</w:t>
      </w:r>
    </w:p>
    <w:p w14:paraId="5D2990A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E9E3D3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One-paragraph recommendation anchored to Keith's current position size, average cost, and existing options hedges.</w:t>
      </w:r>
    </w:p>
    <w:p w14:paraId="379F40D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38689F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---</w:t>
      </w:r>
    </w:p>
    <w:p w14:paraId="0B677BC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C038FC7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## Important Notes</w:t>
      </w:r>
    </w:p>
    <w:p w14:paraId="4FAF9803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1E67995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**Never present a single point estimate as the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answer.*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Always present a range. A valuation that does not acknowledge uncertainty is not a valuation — it is a guess dressed as precision.</w:t>
      </w:r>
    </w:p>
    <w:p w14:paraId="07714CF6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0A22401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**The DCF is not a prediction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machine.*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It is a tool to make your assumptions explicit and stress-testable. The value of a DCF is in the assumptions it forces you to articulate, not in the number it produces.</w:t>
      </w:r>
    </w:p>
    <w:p w14:paraId="074BFB68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08F86B5F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**For semiconductor companies, standard SaaS metrics (NRR, CAC payback) do not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apply.*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Weight FCF yield, gross margin trajectory, and EV/Revenue with growth adjustment more heavily than P/E in the early-to-mid growth phase.</w:t>
      </w:r>
    </w:p>
    <w:p w14:paraId="3D3BE3E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3DA28D8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**Beware of circular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reasoning:*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Do not start from the current price and reverse-engineer assumptions that justify it. Always build the model from fundamentals up.</w:t>
      </w:r>
    </w:p>
    <w:p w14:paraId="201B420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50C0571D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**Warrant dilution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matters.*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* For companies with performance-based warrant </w:t>
      </w:r>
      <w:proofErr w:type="spell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programmes</w:t>
      </w:r>
      <w:proofErr w:type="spell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 (e.g., AMD's Meta/OpenAI warrants), always use fully diluted share count in the per-share calculation. The base case share count should reflect probable dilution, not just current shares outstanding.</w:t>
      </w:r>
    </w:p>
    <w:p w14:paraId="7DDACE32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4E254C2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 xml:space="preserve">- **Update the model after every earnings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release.*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A valuation built on stale guidance is worse than no valuation — it creates false confidence. Treat the model as a living document, not a one-time output.</w:t>
      </w:r>
    </w:p>
    <w:p w14:paraId="07E63A20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26509094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lastRenderedPageBreak/>
        <w:t xml:space="preserve">- **The best use of this skill is paired with Framework </w:t>
      </w:r>
      <w:proofErr w:type="gramStart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2.*</w:t>
      </w:r>
      <w:proofErr w:type="gramEnd"/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* Framework 2 tells you the quality of the business; Valuation Model tells you the price of that quality. Neither is sufficient alone.</w:t>
      </w:r>
    </w:p>
    <w:p w14:paraId="7BC74505" w14:textId="77777777" w:rsidR="0098641F" w:rsidRPr="0098641F" w:rsidRDefault="0098641F" w:rsidP="0098641F">
      <w:pPr>
        <w:widowControl/>
        <w:shd w:val="clear" w:color="auto" w:fill="F9F9F7"/>
        <w:spacing w:after="0" w:line="240" w:lineRule="auto"/>
        <w:rPr>
          <w:rFonts w:ascii="Courier New" w:eastAsia="Times New Roman" w:hAnsi="Courier New" w:cs="Courier New"/>
          <w:color w:val="0B0B0B"/>
          <w:kern w:val="0"/>
          <w:sz w:val="21"/>
          <w:szCs w:val="21"/>
          <w14:ligatures w14:val="none"/>
        </w:rPr>
      </w:pPr>
      <w:r w:rsidRPr="0098641F">
        <w:rPr>
          <w:rFonts w:ascii="Courier New" w:eastAsia="Times New Roman" w:hAnsi="Courier New" w:cs="Courier New"/>
          <w:color w:val="0B0B0B"/>
          <w:kern w:val="0"/>
          <w:sz w:val="18"/>
          <w:szCs w:val="18"/>
          <w14:ligatures w14:val="none"/>
        </w:rPr>
        <w:t> </w:t>
      </w:r>
    </w:p>
    <w:p w14:paraId="7668C7FB" w14:textId="21BF8477" w:rsidR="00820D92" w:rsidRPr="001A26EB" w:rsidRDefault="00820D92"/>
    <w:sectPr w:rsidR="00820D92" w:rsidRPr="001A26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92"/>
    <w:rsid w:val="0015300E"/>
    <w:rsid w:val="001A26EB"/>
    <w:rsid w:val="002D7E9E"/>
    <w:rsid w:val="00820D92"/>
    <w:rsid w:val="0098641F"/>
    <w:rsid w:val="00B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A6228"/>
  <w15:chartTrackingRefBased/>
  <w15:docId w15:val="{07495E7E-73D5-4240-81C1-BDBEB24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D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D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D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D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D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D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0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0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0D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0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0D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0D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0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0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0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0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0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D92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864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1927</Words>
  <Characters>10988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2</cp:revision>
  <dcterms:created xsi:type="dcterms:W3CDTF">2026-08-05T03:29:00Z</dcterms:created>
  <dcterms:modified xsi:type="dcterms:W3CDTF">2026-08-05T03:29:00Z</dcterms:modified>
</cp:coreProperties>
</file>