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AC042F" w14:textId="487D32BC" w:rsidR="00BA37BF" w:rsidRPr="00BA37BF" w:rsidRDefault="00BA37BF" w:rsidP="00BA37BF">
      <w:pPr>
        <w:widowControl/>
        <w:shd w:val="clear" w:color="auto" w:fill="FFFFFF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B0B0B"/>
          <w:kern w:val="0"/>
          <w:sz w:val="33"/>
          <w:szCs w:val="33"/>
          <w14:ligatures w14:val="none"/>
        </w:rPr>
      </w:pPr>
      <w:r w:rsidRPr="00BA37BF">
        <w:rPr>
          <w:rFonts w:ascii="微軟正黑體" w:eastAsia="微軟正黑體" w:hAnsi="微軟正黑體" w:cs="微軟正黑體" w:hint="eastAsia"/>
          <w:b/>
          <w:bCs/>
          <w:color w:val="0B0B0B"/>
          <w:kern w:val="0"/>
          <w:sz w:val="33"/>
          <w:szCs w:val="33"/>
          <w14:ligatures w14:val="none"/>
        </w:rPr>
        <w:t>成長股分析框架：</w:t>
      </w:r>
      <w:r w:rsidRPr="00BA37BF">
        <w:rPr>
          <w:rFonts w:ascii="Segoe UI" w:eastAsia="Times New Roman" w:hAnsi="Segoe UI" w:cs="Segoe UI"/>
          <w:b/>
          <w:bCs/>
          <w:color w:val="0B0B0B"/>
          <w:kern w:val="0"/>
          <w:sz w:val="33"/>
          <w:szCs w:val="33"/>
          <w14:ligatures w14:val="none"/>
        </w:rPr>
        <w:t xml:space="preserve">AI </w:t>
      </w:r>
      <w:r w:rsidRPr="00BA37BF">
        <w:rPr>
          <w:rFonts w:ascii="微軟正黑體" w:eastAsia="微軟正黑體" w:hAnsi="微軟正黑體" w:cs="微軟正黑體" w:hint="eastAsia"/>
          <w:b/>
          <w:bCs/>
          <w:color w:val="0B0B0B"/>
          <w:kern w:val="0"/>
          <w:sz w:val="33"/>
          <w:szCs w:val="33"/>
          <w14:ligatures w14:val="none"/>
        </w:rPr>
        <w:t>專用輸入模板</w:t>
      </w:r>
      <w:r w:rsidRPr="00BA37BF">
        <w:rPr>
          <w:rFonts w:ascii="Segoe UI" w:eastAsia="Times New Roman" w:hAnsi="Segoe UI" w:cs="Segoe UI"/>
          <w:b/>
          <w:bCs/>
          <w:color w:val="0B0B0B"/>
          <w:kern w:val="0"/>
          <w:sz w:val="33"/>
          <w:szCs w:val="33"/>
          <w14:ligatures w14:val="none"/>
        </w:rPr>
        <w:t xml:space="preserve"> - framework 2</w:t>
      </w:r>
    </w:p>
    <w:p w14:paraId="2FDEE23F" w14:textId="77777777" w:rsidR="00BA37BF" w:rsidRDefault="00BA37BF" w:rsidP="00BA37BF">
      <w:pPr>
        <w:widowControl/>
        <w:shd w:val="clear" w:color="auto" w:fill="F9F9F7"/>
        <w:spacing w:after="0" w:line="240" w:lineRule="auto"/>
        <w:rPr>
          <w:rFonts w:ascii="Apple Color Emoji" w:eastAsia="Times New Roman" w:hAnsi="Apple Color Emoji" w:cs="Apple Color Emoji"/>
          <w:color w:val="0B0B0B"/>
          <w:kern w:val="0"/>
          <w:sz w:val="18"/>
          <w:szCs w:val="18"/>
          <w14:ligatures w14:val="none"/>
        </w:rPr>
      </w:pPr>
    </w:p>
    <w:p w14:paraId="00763800" w14:textId="77777777" w:rsidR="00BA37BF" w:rsidRDefault="00BA37BF" w:rsidP="00BA37BF">
      <w:pPr>
        <w:widowControl/>
        <w:shd w:val="clear" w:color="auto" w:fill="F9F9F7"/>
        <w:spacing w:after="0" w:line="240" w:lineRule="auto"/>
        <w:rPr>
          <w:rFonts w:ascii="Apple Color Emoji" w:eastAsia="Times New Roman" w:hAnsi="Apple Color Emoji" w:cs="Apple Color Emoji"/>
          <w:color w:val="0B0B0B"/>
          <w:kern w:val="0"/>
          <w:sz w:val="18"/>
          <w:szCs w:val="18"/>
          <w14:ligatures w14:val="none"/>
        </w:rPr>
      </w:pPr>
    </w:p>
    <w:p w14:paraId="51745B0B" w14:textId="149A59DD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Apple Color Emoji" w:eastAsia="Times New Roman" w:hAnsi="Apple Color Emoji" w:cs="Apple Color Emoji"/>
          <w:color w:val="0B0B0B"/>
          <w:kern w:val="0"/>
          <w:sz w:val="18"/>
          <w:szCs w:val="18"/>
          <w14:ligatures w14:val="none"/>
        </w:rPr>
        <w:t>🧠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框架邏輯與應用探討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(The Framework &amp; Rationale)</w:t>
      </w:r>
    </w:p>
    <w:p w14:paraId="77D5A157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99B7978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這套框架的核心精神在於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「刺穿成長的假象」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。以下是這五大維度（即您需要建立的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10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大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KPI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對應欄位）的底層邏輯，您可以將此應用於任何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SaaS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、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DTC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品牌或訂閱制平台</w:t>
      </w:r>
      <w:r w:rsidRPr="00BA37BF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：</w:t>
      </w:r>
    </w:p>
    <w:p w14:paraId="3C8FDBF7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5F677BB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維度一：成長引擎與規模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(Growth Engine &amp; Scale)</w:t>
      </w:r>
    </w:p>
    <w:p w14:paraId="0B5C3B72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C61374A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適用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**** KPI****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：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 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總用戶數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/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訂戶數、營收年增率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(YoY Growth)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、淨收入留存率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(Net Retention Rate, NRR)</w:t>
      </w:r>
      <w:r w:rsidRPr="00BA37BF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6892F888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95573C3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套用邏輯：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 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成長股的第一步是看頂線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(Top-line)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。但我們不只看營收，更要看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「客戶基數的擴張」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。如果是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SaaS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公司，還要加上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NRR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（是否能從老客戶身上賺更多錢，就如同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HIMS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的「每戶平均月營收」）</w:t>
      </w:r>
      <w:r w:rsidRPr="00BA37BF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0E46F16F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2A8F0E3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維度二：單位經濟的極致健康度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(Unit Economics)</w:t>
      </w:r>
    </w:p>
    <w:p w14:paraId="362E0BD5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F88BC47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適用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**** KPI****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：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 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獲客成本回收期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(Payback Period)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、行銷費用佔營收比重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(S&amp;M as % of Revenue)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、自然流量獲取佔比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(Organic Acquisition %)</w:t>
      </w:r>
      <w:r w:rsidRPr="00BA37BF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5BABB7B9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5B41C6E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套用邏輯：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 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這是這套框架的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靈魂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。許多成長股靠大撒幣換營收，一旦停止行銷，營收就崩盤。我們必須檢驗行銷佔比是否「逐季下降」，以及客戶生命週期價值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(LTV)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是否遠大於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CAC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。只要回收期在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1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年以內（如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HIMS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的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6-7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個月），這家公司的擴張就是安全的</w:t>
      </w:r>
      <w:r w:rsidRPr="00BA37BF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49B39B33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A55DB4E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維度三：護城河與轉換成本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(Moat &amp; Switching Costs)</w:t>
      </w:r>
    </w:p>
    <w:p w14:paraId="1ACB08C5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A1C2157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適用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**** KPI****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：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 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採用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2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種以上產品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/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模組的客戶比例、高階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/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客製化產品滲透率</w:t>
      </w:r>
      <w:r w:rsidRPr="00BA37BF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2437F427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19E4514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套用邏輯：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 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成長股最怕「流失率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(Churn)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」。在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HIMS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，我們看「多重症狀治療比例」與「個人化療程」；如果換成資安軟體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CrowdStrike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，我們就看「採用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5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個以上模組的客戶比例」。這個指標決定了客戶的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轉換成本有多高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，數值越高，未來的現金流越具確定性</w:t>
      </w:r>
      <w:r w:rsidRPr="00BA37BF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7FCCB99F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BFA1327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維度四：營運槓桿與獲利路徑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(Operating Leverage &amp; Path to Profitability)</w:t>
      </w:r>
    </w:p>
    <w:p w14:paraId="73BDABE3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E7812E2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lastRenderedPageBreak/>
        <w:t>- 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適用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**** KPI****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：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 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毛利率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(Gross Margin)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、經調整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EBITDA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利潤率、研發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/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管理費用佔營收比重</w:t>
      </w:r>
      <w:r w:rsidRPr="00BA37BF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6F7945D6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A790580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套用邏輯：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 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成長股初期通常虧損，但我們必須看到「通往獲利的清晰路徑」。透過時間序列（過去五季）觀察，研發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(R&amp;D)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與管理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(G&amp;A)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費用佔比是否因為規模經濟（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Economies of Scale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）而逐季收斂？如果是，這代表這家公司擁有強大的營運槓桿</w:t>
      </w:r>
      <w:r w:rsidRPr="00BA37BF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2FD4C26A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03317DB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維度五：真實盈餘品質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(Cash Flow Reality &amp; Optionality)</w:t>
      </w:r>
    </w:p>
    <w:p w14:paraId="1326DAA4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49E9440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適用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**** KPI****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：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 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營運現金流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(Operating Cash Flow, OCF)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、自由現金流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(Free Cash Flow, FCF)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、新市場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/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新產品營收貢獻佔比</w:t>
      </w:r>
      <w:r w:rsidRPr="00BA37BF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62AA50D0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AEB152D" w14:textId="77777777" w:rsidR="00BA37BF" w:rsidRPr="00BA37BF" w:rsidRDefault="00BA37BF" w:rsidP="00BA37B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套用邏輯：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 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帳面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EPS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可以靠會計手段調整，但現金流無法造假。健康的成長股必須在營收爆發的同時，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OCF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同步轉正甚至大增（如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HIMS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創造了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3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億美元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OCF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）。此外，追蹤「新市場（如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HIMS 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的國際市場）佔比」，能判斷公司是否具備突破增長天花板的「第二曲線</w:t>
      </w:r>
      <w:r w:rsidRPr="00BA37B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(Second Act)</w:t>
      </w:r>
      <w:r w:rsidRPr="00BA37BF">
        <w:rPr>
          <w:rFonts w:ascii="微軟正黑體" w:eastAsia="微軟正黑體" w:hAnsi="微軟正黑體" w:cs="微軟正黑體" w:hint="eastAsia"/>
          <w:color w:val="0B0B0B"/>
          <w:kern w:val="0"/>
          <w:sz w:val="18"/>
          <w:szCs w:val="18"/>
          <w14:ligatures w14:val="none"/>
        </w:rPr>
        <w:t>」</w:t>
      </w:r>
      <w:r w:rsidRPr="00BA37BF">
        <w:rPr>
          <w:rFonts w:ascii="微軟正黑體" w:eastAsia="微軟正黑體" w:hAnsi="微軟正黑體" w:cs="微軟正黑體"/>
          <w:color w:val="0B0B0B"/>
          <w:kern w:val="0"/>
          <w:sz w:val="18"/>
          <w:szCs w:val="18"/>
          <w14:ligatures w14:val="none"/>
        </w:rPr>
        <w:t>。</w:t>
      </w:r>
    </w:p>
    <w:p w14:paraId="7668C7FB" w14:textId="77777777" w:rsidR="00820D92" w:rsidRDefault="00820D92"/>
    <w:sectPr w:rsidR="00820D9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92"/>
    <w:rsid w:val="002D7E9E"/>
    <w:rsid w:val="00820D92"/>
    <w:rsid w:val="00BA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A6228"/>
  <w15:chartTrackingRefBased/>
  <w15:docId w15:val="{07495E7E-73D5-4240-81C1-BDBEB24B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0D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20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D9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D9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D9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D9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D9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D9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20D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20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20D9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20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20D9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20D9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20D9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20D9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20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0D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20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D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20D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20D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D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0D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0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20D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0D92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BA37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Cheung</dc:creator>
  <cp:keywords/>
  <dc:description/>
  <cp:lastModifiedBy>Keith Cheung</cp:lastModifiedBy>
  <cp:revision>2</cp:revision>
  <dcterms:created xsi:type="dcterms:W3CDTF">2026-08-05T03:27:00Z</dcterms:created>
  <dcterms:modified xsi:type="dcterms:W3CDTF">2026-08-05T03:27:00Z</dcterms:modified>
</cp:coreProperties>
</file>