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67E7" w14:textId="53E7979D" w:rsidR="0080550D" w:rsidRPr="0096000A" w:rsidRDefault="004D659D" w:rsidP="0080550D">
      <w:pPr>
        <w:rPr>
          <w:b/>
          <w:bCs/>
          <w:color w:val="000000" w:themeColor="text1"/>
          <w:sz w:val="60"/>
          <w:szCs w:val="60"/>
        </w:rPr>
      </w:pPr>
      <w:r w:rsidRPr="0096000A">
        <w:rPr>
          <w:b/>
          <w:bCs/>
          <w:color w:val="000000" w:themeColor="text1"/>
          <w:sz w:val="60"/>
          <w:szCs w:val="60"/>
        </w:rPr>
        <w:t>B</w:t>
      </w:r>
      <w:r w:rsidR="00437C27">
        <w:rPr>
          <w:b/>
          <w:bCs/>
          <w:color w:val="000000" w:themeColor="text1"/>
          <w:sz w:val="60"/>
          <w:szCs w:val="60"/>
        </w:rPr>
        <w:t>P</w:t>
      </w:r>
      <w:r w:rsidRPr="0096000A">
        <w:rPr>
          <w:b/>
          <w:bCs/>
          <w:color w:val="000000" w:themeColor="text1"/>
          <w:sz w:val="60"/>
          <w:szCs w:val="60"/>
        </w:rPr>
        <w:t>C-157 + TB-500</w:t>
      </w:r>
    </w:p>
    <w:p w14:paraId="2A94385D" w14:textId="77777777" w:rsidR="006D480E" w:rsidRPr="00545927" w:rsidRDefault="004D659D" w:rsidP="006D480E">
      <w:pPr>
        <w:spacing w:line="240" w:lineRule="auto"/>
        <w:rPr>
          <w:rFonts w:ascii="Arial" w:hAnsi="Arial" w:cs="Arial"/>
          <w:color w:val="1F5891"/>
          <w:sz w:val="28"/>
          <w:szCs w:val="28"/>
          <w:u w:val="single"/>
        </w:rPr>
      </w:pPr>
      <w:r w:rsidRPr="004D659D">
        <w:rPr>
          <w:rFonts w:ascii="Arial" w:hAnsi="Arial" w:cs="Arial"/>
          <w:b/>
          <w:bCs/>
          <w:color w:val="1F5891"/>
          <w:sz w:val="28"/>
          <w:szCs w:val="28"/>
          <w:u w:val="single"/>
        </w:rPr>
        <w:t>TB-500 (Thymosin β4)</w:t>
      </w:r>
      <w:r w:rsidRPr="004D659D">
        <w:rPr>
          <w:rFonts w:ascii="Arial" w:hAnsi="Arial" w:cs="Arial"/>
          <w:color w:val="1F5891"/>
          <w:sz w:val="28"/>
          <w:szCs w:val="28"/>
          <w:u w:val="single"/>
        </w:rPr>
        <w:t xml:space="preserve"> primarily facilitates cell migration and cytoskeletal remodeling. </w:t>
      </w:r>
    </w:p>
    <w:p w14:paraId="420DB956" w14:textId="77777777" w:rsidR="006D480E" w:rsidRPr="006D480E" w:rsidRDefault="004D659D" w:rsidP="006D480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After an injury, endogenous thymosin β4 is released by platelets and immune cells to protect tissues from further damage</w:t>
      </w:r>
      <w:hyperlink r:id="rId5" w:anchor="ref-4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[4]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4A62C658" w14:textId="77777777" w:rsidR="006D480E" w:rsidRPr="006D480E" w:rsidRDefault="004D659D" w:rsidP="006D480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TB-500 mimics this by binding to actin, a key cell structural protein, and promoting the mobilization of cells to the injury site</w:t>
      </w:r>
      <w:hyperlink r:id="rId6" w:anchor="ref-4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[4]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>. It thereby accelerates angiogenesis (new capillary growth) and recruits stem and progenitor cells, which aid in regenerating damaged tissues</w:t>
      </w:r>
      <w:hyperlink r:id="rId7" w:anchor="ref-4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[4]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73C64DF1" w14:textId="63644D18" w:rsidR="004D659D" w:rsidRPr="006D480E" w:rsidRDefault="004D659D" w:rsidP="006D480E">
      <w:pPr>
        <w:pStyle w:val="ListParagraph"/>
        <w:numPr>
          <w:ilvl w:val="0"/>
          <w:numId w:val="14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TB-500 also has anti-apoptotic effects (reducing cell death) and modulates immune cells to limit excessive inflammation and fibrosis</w:t>
      </w:r>
      <w:r w:rsidR="006D480E" w:rsidRPr="006D480E">
        <w:rPr>
          <w:rFonts w:ascii="Arial" w:hAnsi="Arial" w:cs="Arial"/>
          <w:color w:val="000000" w:themeColor="text1"/>
          <w:sz w:val="28"/>
          <w:szCs w:val="28"/>
        </w:rPr>
        <w:t xml:space="preserve"> (</w:t>
      </w:r>
      <w:r w:rsidRPr="006D480E">
        <w:rPr>
          <w:rFonts w:ascii="Arial" w:hAnsi="Arial" w:cs="Arial"/>
          <w:color w:val="000000" w:themeColor="text1"/>
          <w:sz w:val="28"/>
          <w:szCs w:val="28"/>
        </w:rPr>
        <w:t>reduced scar tissue formation</w:t>
      </w:r>
      <w:r w:rsidR="006D480E" w:rsidRPr="006D480E">
        <w:rPr>
          <w:rFonts w:ascii="Arial" w:hAnsi="Arial" w:cs="Arial"/>
          <w:color w:val="000000" w:themeColor="text1"/>
          <w:sz w:val="28"/>
          <w:szCs w:val="28"/>
        </w:rPr>
        <w:t>)</w:t>
      </w:r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 and more organized healing in wounds</w:t>
      </w:r>
      <w:hyperlink r:id="rId8" w:anchor="ref-4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[4]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6C3C2C20" w14:textId="77777777" w:rsidR="006D480E" w:rsidRPr="00545927" w:rsidRDefault="004D659D" w:rsidP="006D480E">
      <w:pPr>
        <w:spacing w:line="240" w:lineRule="auto"/>
        <w:rPr>
          <w:rFonts w:ascii="Arial" w:hAnsi="Arial" w:cs="Arial"/>
          <w:color w:val="1F5891"/>
          <w:sz w:val="28"/>
          <w:szCs w:val="28"/>
          <w:u w:val="single"/>
        </w:rPr>
      </w:pPr>
      <w:r w:rsidRPr="004D659D">
        <w:rPr>
          <w:rFonts w:ascii="Arial" w:hAnsi="Arial" w:cs="Arial"/>
          <w:b/>
          <w:bCs/>
          <w:color w:val="1F5891"/>
          <w:sz w:val="28"/>
          <w:szCs w:val="28"/>
          <w:u w:val="single"/>
        </w:rPr>
        <w:t>BPC-157</w:t>
      </w:r>
      <w:r w:rsidRPr="004D659D">
        <w:rPr>
          <w:rFonts w:ascii="Arial" w:hAnsi="Arial" w:cs="Arial"/>
          <w:color w:val="1F5891"/>
          <w:sz w:val="28"/>
          <w:szCs w:val="28"/>
          <w:u w:val="single"/>
        </w:rPr>
        <w:t xml:space="preserve"> triggers a multi-factorial healing response. </w:t>
      </w:r>
    </w:p>
    <w:p w14:paraId="34649223" w14:textId="77777777" w:rsidR="006D480E" w:rsidRPr="006D480E" w:rsidRDefault="004D659D" w:rsidP="006D480E">
      <w:pPr>
        <w:pStyle w:val="ListParagraph"/>
        <w:numPr>
          <w:ilvl w:val="0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It is known to enhance growth factor signaling (e.g., increasing receptors for VEGF and PDGF) and upregulate nitric oxide pathways, leading to improved microcirculation in injured tissue</w:t>
      </w:r>
      <w:hyperlink r:id="rId9" w:anchor="ref-5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[5]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4FC789EF" w14:textId="77777777" w:rsidR="006D480E" w:rsidRPr="006D480E" w:rsidRDefault="006D480E" w:rsidP="006D480E">
      <w:pPr>
        <w:pStyle w:val="ListParagraph"/>
        <w:numPr>
          <w:ilvl w:val="0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D</w:t>
      </w:r>
      <w:r w:rsidR="004D659D" w:rsidRPr="006D480E">
        <w:rPr>
          <w:rFonts w:ascii="Arial" w:hAnsi="Arial" w:cs="Arial"/>
          <w:color w:val="000000" w:themeColor="text1"/>
          <w:sz w:val="28"/>
          <w:szCs w:val="28"/>
        </w:rPr>
        <w:t>irectly counteracts inflammatory mediators—it lowers pro-inflammatory cytokines and increases anti-inflammatory factors at injury sites</w:t>
      </w:r>
      <w:hyperlink r:id="rId10" w:anchor="ref-5" w:history="1">
        <w:r w:rsidR="004D659D"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[5]</w:t>
        </w:r>
      </w:hyperlink>
      <w:r w:rsidR="004D659D"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6091D669" w14:textId="77777777" w:rsidR="006D480E" w:rsidRPr="006D480E" w:rsidRDefault="004D659D" w:rsidP="006D480E">
      <w:pPr>
        <w:pStyle w:val="ListParagraph"/>
        <w:numPr>
          <w:ilvl w:val="0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On a cellular level, BPC-157 promotes the migration and survival of repair cells (fibroblasts, endothelial cells, etc.). </w:t>
      </w:r>
    </w:p>
    <w:p w14:paraId="47370605" w14:textId="77777777" w:rsidR="006D480E" w:rsidRPr="006D480E" w:rsidRDefault="004D659D" w:rsidP="006D480E">
      <w:pPr>
        <w:pStyle w:val="ListParagraph"/>
        <w:numPr>
          <w:ilvl w:val="1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For instance, in tendon cells it activates the FAK-paxillin pathway to increase cell movement and adhesion for repair</w:t>
      </w:r>
      <w:hyperlink r:id="rId11" w:anchor="ref-6" w:history="1">
        <w:r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[6]</w:t>
        </w:r>
      </w:hyperlink>
      <w:r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553259A2" w14:textId="77777777" w:rsidR="006D480E" w:rsidRPr="006D480E" w:rsidRDefault="006D480E" w:rsidP="006D480E">
      <w:pPr>
        <w:pStyle w:val="ListParagraph"/>
        <w:numPr>
          <w:ilvl w:val="0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S</w:t>
      </w:r>
      <w:r w:rsidR="004D659D" w:rsidRPr="006D480E">
        <w:rPr>
          <w:rFonts w:ascii="Arial" w:hAnsi="Arial" w:cs="Arial"/>
          <w:color w:val="000000" w:themeColor="text1"/>
          <w:sz w:val="28"/>
          <w:szCs w:val="28"/>
        </w:rPr>
        <w:t>upports the formation of new blood vessels (angiogenesis) similar to growth factors, helping deliver nutrients for regeneration</w:t>
      </w:r>
      <w:hyperlink r:id="rId12" w:anchor="ref-5" w:history="1">
        <w:r w:rsidR="004D659D" w:rsidRPr="006D480E">
          <w:rPr>
            <w:rStyle w:val="Hyperlink"/>
            <w:rFonts w:ascii="Arial" w:hAnsi="Arial" w:cs="Arial"/>
            <w:sz w:val="28"/>
            <w:szCs w:val="28"/>
            <w:vertAlign w:val="superscript"/>
          </w:rPr>
          <w:t>[5]</w:t>
        </w:r>
      </w:hyperlink>
      <w:r w:rsidR="004D659D" w:rsidRPr="006D480E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</w:p>
    <w:p w14:paraId="19A91C86" w14:textId="6C881D98" w:rsidR="004D659D" w:rsidRPr="006D480E" w:rsidRDefault="004D659D" w:rsidP="006D480E">
      <w:pPr>
        <w:pStyle w:val="ListParagraph"/>
        <w:numPr>
          <w:ilvl w:val="0"/>
          <w:numId w:val="15"/>
        </w:numPr>
        <w:spacing w:line="240" w:lineRule="auto"/>
        <w:contextualSpacing w:val="0"/>
        <w:rPr>
          <w:rFonts w:ascii="Arial" w:hAnsi="Arial" w:cs="Arial"/>
          <w:color w:val="000000" w:themeColor="text1"/>
          <w:sz w:val="28"/>
          <w:szCs w:val="28"/>
        </w:rPr>
      </w:pPr>
      <w:r w:rsidRPr="006D480E">
        <w:rPr>
          <w:rFonts w:ascii="Arial" w:hAnsi="Arial" w:cs="Arial"/>
          <w:color w:val="000000" w:themeColor="text1"/>
          <w:sz w:val="28"/>
          <w:szCs w:val="28"/>
        </w:rPr>
        <w:t>BPC-157 has demonstrated accelerated healing in diverse tissues (muscle, tendon, bone, gut) in preclinical models.</w:t>
      </w:r>
    </w:p>
    <w:p w14:paraId="68B8DBA1" w14:textId="77777777" w:rsidR="006D480E" w:rsidRDefault="006D480E" w:rsidP="006D480E">
      <w:pPr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sectPr w:rsidR="006D480E" w:rsidSect="00375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30"/>
    <w:multiLevelType w:val="multilevel"/>
    <w:tmpl w:val="226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F3F"/>
    <w:multiLevelType w:val="multilevel"/>
    <w:tmpl w:val="6E2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3B8F"/>
    <w:multiLevelType w:val="hybridMultilevel"/>
    <w:tmpl w:val="1A7C86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C5BC3"/>
    <w:multiLevelType w:val="hybridMultilevel"/>
    <w:tmpl w:val="26DE7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259FC"/>
    <w:multiLevelType w:val="multilevel"/>
    <w:tmpl w:val="A6E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B236F"/>
    <w:multiLevelType w:val="multilevel"/>
    <w:tmpl w:val="36C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A0B"/>
    <w:multiLevelType w:val="multilevel"/>
    <w:tmpl w:val="624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9771DF"/>
    <w:multiLevelType w:val="multilevel"/>
    <w:tmpl w:val="B11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05FDE"/>
    <w:multiLevelType w:val="hybridMultilevel"/>
    <w:tmpl w:val="1FAA4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55546"/>
    <w:multiLevelType w:val="multilevel"/>
    <w:tmpl w:val="5A9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F7246"/>
    <w:multiLevelType w:val="hybridMultilevel"/>
    <w:tmpl w:val="8B8CFD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029AC"/>
    <w:multiLevelType w:val="multilevel"/>
    <w:tmpl w:val="3A8C69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5A7C7C"/>
    <w:multiLevelType w:val="multilevel"/>
    <w:tmpl w:val="FD1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CB2D25"/>
    <w:multiLevelType w:val="multilevel"/>
    <w:tmpl w:val="5CAE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B4042D"/>
    <w:multiLevelType w:val="multilevel"/>
    <w:tmpl w:val="B188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C46CBB"/>
    <w:multiLevelType w:val="multilevel"/>
    <w:tmpl w:val="3A4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505989">
    <w:abstractNumId w:val="15"/>
  </w:num>
  <w:num w:numId="2" w16cid:durableId="1749768269">
    <w:abstractNumId w:val="13"/>
  </w:num>
  <w:num w:numId="3" w16cid:durableId="79449139">
    <w:abstractNumId w:val="7"/>
  </w:num>
  <w:num w:numId="4" w16cid:durableId="1075206024">
    <w:abstractNumId w:val="5"/>
  </w:num>
  <w:num w:numId="5" w16cid:durableId="1768383077">
    <w:abstractNumId w:val="2"/>
  </w:num>
  <w:num w:numId="6" w16cid:durableId="772824245">
    <w:abstractNumId w:val="0"/>
  </w:num>
  <w:num w:numId="7" w16cid:durableId="1349260078">
    <w:abstractNumId w:val="12"/>
  </w:num>
  <w:num w:numId="8" w16cid:durableId="60174345">
    <w:abstractNumId w:val="14"/>
  </w:num>
  <w:num w:numId="9" w16cid:durableId="603346164">
    <w:abstractNumId w:val="4"/>
  </w:num>
  <w:num w:numId="10" w16cid:durableId="909271794">
    <w:abstractNumId w:val="1"/>
  </w:num>
  <w:num w:numId="11" w16cid:durableId="1491169247">
    <w:abstractNumId w:val="6"/>
  </w:num>
  <w:num w:numId="12" w16cid:durableId="1950164791">
    <w:abstractNumId w:val="11"/>
  </w:num>
  <w:num w:numId="13" w16cid:durableId="1200123037">
    <w:abstractNumId w:val="3"/>
  </w:num>
  <w:num w:numId="14" w16cid:durableId="88890486">
    <w:abstractNumId w:val="10"/>
  </w:num>
  <w:num w:numId="15" w16cid:durableId="741567406">
    <w:abstractNumId w:val="8"/>
  </w:num>
  <w:num w:numId="16" w16cid:durableId="949436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DE"/>
    <w:rsid w:val="000E24E9"/>
    <w:rsid w:val="00113FE2"/>
    <w:rsid w:val="001E60C8"/>
    <w:rsid w:val="00262A87"/>
    <w:rsid w:val="00276863"/>
    <w:rsid w:val="002D529B"/>
    <w:rsid w:val="00375F0D"/>
    <w:rsid w:val="0042701B"/>
    <w:rsid w:val="004379D1"/>
    <w:rsid w:val="00437C27"/>
    <w:rsid w:val="004A4EDF"/>
    <w:rsid w:val="004C19F6"/>
    <w:rsid w:val="004D35DE"/>
    <w:rsid w:val="004D40FB"/>
    <w:rsid w:val="004D659D"/>
    <w:rsid w:val="005421DA"/>
    <w:rsid w:val="00545927"/>
    <w:rsid w:val="00562D1B"/>
    <w:rsid w:val="006354FB"/>
    <w:rsid w:val="006A7DDD"/>
    <w:rsid w:val="006D480E"/>
    <w:rsid w:val="007D1105"/>
    <w:rsid w:val="0080550D"/>
    <w:rsid w:val="008F2725"/>
    <w:rsid w:val="0096000A"/>
    <w:rsid w:val="0098551D"/>
    <w:rsid w:val="00A70F58"/>
    <w:rsid w:val="00A75BEB"/>
    <w:rsid w:val="00B00A9C"/>
    <w:rsid w:val="00B222B5"/>
    <w:rsid w:val="00B71854"/>
    <w:rsid w:val="00E07F47"/>
    <w:rsid w:val="00F0677A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A96D"/>
  <w15:chartTrackingRefBased/>
  <w15:docId w15:val="{0EBD9B23-85F3-4599-B5EB-71799BE3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B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ptidedosages.com/peptide-blend-dosages/glow-70-mg-vial-dosage-protoco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ptidedosages.com/peptide-blend-dosages/glow-70-mg-vial-dosage-protocol/" TargetMode="External"/><Relationship Id="rId12" Type="http://schemas.openxmlformats.org/officeDocument/2006/relationships/hyperlink" Target="https://peptidedosages.com/peptide-blend-dosages/glow-70-mg-vial-dosage-protoco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ptidedosages.com/peptide-blend-dosages/glow-70-mg-vial-dosage-protocol/" TargetMode="External"/><Relationship Id="rId11" Type="http://schemas.openxmlformats.org/officeDocument/2006/relationships/hyperlink" Target="https://peptidedosages.com/peptide-blend-dosages/glow-70-mg-vial-dosage-protocol/" TargetMode="External"/><Relationship Id="rId5" Type="http://schemas.openxmlformats.org/officeDocument/2006/relationships/hyperlink" Target="https://peptidedosages.com/peptide-blend-dosages/glow-70-mg-vial-dosage-protocol/" TargetMode="External"/><Relationship Id="rId10" Type="http://schemas.openxmlformats.org/officeDocument/2006/relationships/hyperlink" Target="https://peptidedosages.com/peptide-blend-dosages/glow-70-mg-vial-dosage-protoco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ptidedosages.com/peptide-blend-dosages/glow-70-mg-vial-dosage-protocol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366</Words>
  <Characters>2098</Characters>
  <Application>Microsoft Office Word</Application>
  <DocSecurity>0</DocSecurity>
  <Lines>349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Piccininno</dc:creator>
  <cp:keywords/>
  <dc:description/>
  <cp:lastModifiedBy>Keith Piccininno</cp:lastModifiedBy>
  <cp:revision>12</cp:revision>
  <dcterms:created xsi:type="dcterms:W3CDTF">2026-02-10T01:45:00Z</dcterms:created>
  <dcterms:modified xsi:type="dcterms:W3CDTF">2026-04-30T16:15:00Z</dcterms:modified>
</cp:coreProperties>
</file>