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0384C" w14:textId="50C5C85A" w:rsidR="00E62A72" w:rsidRDefault="00DB79F7">
      <w:r>
        <w:t xml:space="preserve">The joined dataset was further filtered to remove the variables that were not relevant (ex: time of day of the application) or identified as unethical (ex: gender). </w:t>
      </w:r>
      <w:r w:rsidR="00E45E9B">
        <w:t>19 variables were shortlisted and used to model and predict the target variable. Box plots were made</w:t>
      </w:r>
      <w:r>
        <w:t xml:space="preserve"> </w:t>
      </w:r>
      <w:r w:rsidR="00E45E9B">
        <w:t>to identify any outliers and to discuss if any datapoints should be removed. Next the data set was normalized to bring all the variables to the scale of 0 to 1. The data was split into two parts with 70:30 split for training and testing datasets.</w:t>
      </w:r>
      <w:r w:rsidR="00D431AF">
        <w:t xml:space="preserve"> Logistic regression model was created and variables that were insignificant were identified (p&lt;0.05) and removed. Variables with high VIF (variable inflation factors) were also identified and removed and the logistic regression model was refitted.</w:t>
      </w:r>
      <w:r w:rsidR="003E015E">
        <w:t xml:space="preserve"> As a</w:t>
      </w:r>
      <w:r w:rsidR="00563A60">
        <w:t>n</w:t>
      </w:r>
      <w:r w:rsidR="003E015E">
        <w:t xml:space="preserve"> initial attempt, probability threshold value of 0.5 was use</w:t>
      </w:r>
      <w:r w:rsidR="00563A60">
        <w:t xml:space="preserve">d to predict the target variable. The confusion matrix, accuracy, </w:t>
      </w:r>
      <w:proofErr w:type="gramStart"/>
      <w:r w:rsidR="00563A60">
        <w:t>sensitivity</w:t>
      </w:r>
      <w:proofErr w:type="gramEnd"/>
      <w:r w:rsidR="00563A60">
        <w:t xml:space="preserve"> and specificity are shown below</w:t>
      </w:r>
      <w:r w:rsidR="007A667C">
        <w:t>.</w:t>
      </w:r>
    </w:p>
    <w:p w14:paraId="4E482400" w14:textId="112A4816" w:rsidR="007A667C" w:rsidRDefault="007A667C">
      <w:r>
        <w:t xml:space="preserve">Confusion Matrix and </w:t>
      </w:r>
      <w:r w:rsidR="0045624D">
        <w:t>accuracy of the model for p=0.5 probability cut-off threshold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85"/>
        <w:gridCol w:w="340"/>
        <w:gridCol w:w="990"/>
        <w:gridCol w:w="999"/>
      </w:tblGrid>
      <w:tr w:rsidR="00563A60" w14:paraId="607A41EF" w14:textId="77777777" w:rsidTr="00563A60">
        <w:tc>
          <w:tcPr>
            <w:tcW w:w="1525" w:type="dxa"/>
            <w:gridSpan w:val="2"/>
            <w:vMerge w:val="restart"/>
          </w:tcPr>
          <w:p w14:paraId="0547AB80" w14:textId="77777777" w:rsidR="00563A60" w:rsidRDefault="00313F4E" w:rsidP="00563A60">
            <w:pPr>
              <w:jc w:val="center"/>
            </w:pPr>
            <w:r>
              <w:t>0= Can pay</w:t>
            </w:r>
          </w:p>
          <w:p w14:paraId="48076B1E" w14:textId="3AF6EC6D" w:rsidR="00313F4E" w:rsidRDefault="00313F4E" w:rsidP="00563A60">
            <w:pPr>
              <w:jc w:val="center"/>
            </w:pPr>
            <w:r>
              <w:t>1= Can’t pay</w:t>
            </w:r>
          </w:p>
        </w:tc>
        <w:tc>
          <w:tcPr>
            <w:tcW w:w="1989" w:type="dxa"/>
            <w:gridSpan w:val="2"/>
          </w:tcPr>
          <w:p w14:paraId="6326BF00" w14:textId="4A6C8A3C" w:rsidR="00563A60" w:rsidRDefault="00563A60" w:rsidP="00563A60">
            <w:pPr>
              <w:jc w:val="center"/>
            </w:pPr>
            <w:r>
              <w:t>Reference</w:t>
            </w:r>
          </w:p>
        </w:tc>
      </w:tr>
      <w:tr w:rsidR="00563A60" w14:paraId="1F7FF1B0" w14:textId="77777777" w:rsidTr="00563A60">
        <w:tc>
          <w:tcPr>
            <w:tcW w:w="1525" w:type="dxa"/>
            <w:gridSpan w:val="2"/>
            <w:vMerge/>
          </w:tcPr>
          <w:p w14:paraId="36D62D40" w14:textId="77777777" w:rsidR="00563A60" w:rsidRDefault="00563A60" w:rsidP="00563A60">
            <w:pPr>
              <w:jc w:val="center"/>
            </w:pPr>
          </w:p>
        </w:tc>
        <w:tc>
          <w:tcPr>
            <w:tcW w:w="990" w:type="dxa"/>
          </w:tcPr>
          <w:p w14:paraId="5192B196" w14:textId="5F37F2DC" w:rsidR="00563A60" w:rsidRDefault="00563A60" w:rsidP="00563A60">
            <w:pPr>
              <w:jc w:val="center"/>
            </w:pPr>
            <w:r>
              <w:t>0</w:t>
            </w:r>
            <w:r w:rsidR="00313F4E">
              <w:t xml:space="preserve"> </w:t>
            </w:r>
          </w:p>
        </w:tc>
        <w:tc>
          <w:tcPr>
            <w:tcW w:w="999" w:type="dxa"/>
          </w:tcPr>
          <w:p w14:paraId="03B3B052" w14:textId="09CA12B8" w:rsidR="00563A60" w:rsidRDefault="00563A60" w:rsidP="00563A60">
            <w:pPr>
              <w:jc w:val="center"/>
            </w:pPr>
            <w:r>
              <w:t>1</w:t>
            </w:r>
          </w:p>
        </w:tc>
      </w:tr>
      <w:tr w:rsidR="00563A60" w14:paraId="30D1F870" w14:textId="77777777" w:rsidTr="00563A60">
        <w:tc>
          <w:tcPr>
            <w:tcW w:w="1185" w:type="dxa"/>
            <w:vMerge w:val="restart"/>
          </w:tcPr>
          <w:p w14:paraId="0A67B3C0" w14:textId="03E18566" w:rsidR="00563A60" w:rsidRDefault="00563A60" w:rsidP="00563A60">
            <w:pPr>
              <w:jc w:val="center"/>
            </w:pPr>
            <w:r>
              <w:t>Prediction</w:t>
            </w:r>
          </w:p>
        </w:tc>
        <w:tc>
          <w:tcPr>
            <w:tcW w:w="340" w:type="dxa"/>
          </w:tcPr>
          <w:p w14:paraId="476772D0" w14:textId="6A1D23A4" w:rsidR="00563A60" w:rsidRDefault="00563A60" w:rsidP="00563A60">
            <w:pPr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66AC79E4" w14:textId="2B43FC82" w:rsidR="00563A60" w:rsidRDefault="00563A60" w:rsidP="00563A60">
            <w:pPr>
              <w:jc w:val="center"/>
            </w:pPr>
            <w:r>
              <w:t>59840</w:t>
            </w:r>
          </w:p>
        </w:tc>
        <w:tc>
          <w:tcPr>
            <w:tcW w:w="999" w:type="dxa"/>
          </w:tcPr>
          <w:p w14:paraId="01CD01FD" w14:textId="459442F2" w:rsidR="00563A60" w:rsidRDefault="00563A60" w:rsidP="00563A60">
            <w:pPr>
              <w:jc w:val="center"/>
            </w:pPr>
            <w:r>
              <w:t>5211</w:t>
            </w:r>
          </w:p>
        </w:tc>
      </w:tr>
      <w:tr w:rsidR="00563A60" w14:paraId="337F51A3" w14:textId="77777777" w:rsidTr="00563A60">
        <w:tc>
          <w:tcPr>
            <w:tcW w:w="1185" w:type="dxa"/>
            <w:vMerge/>
          </w:tcPr>
          <w:p w14:paraId="0234BD01" w14:textId="77777777" w:rsidR="00563A60" w:rsidRDefault="00563A60" w:rsidP="00563A60">
            <w:pPr>
              <w:jc w:val="center"/>
            </w:pPr>
          </w:p>
        </w:tc>
        <w:tc>
          <w:tcPr>
            <w:tcW w:w="340" w:type="dxa"/>
          </w:tcPr>
          <w:p w14:paraId="3C439173" w14:textId="7AED3652" w:rsidR="00563A60" w:rsidRDefault="00563A60" w:rsidP="00563A60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072FCA91" w14:textId="179CB961" w:rsidR="00563A60" w:rsidRDefault="00563A60" w:rsidP="00563A60">
            <w:pPr>
              <w:jc w:val="center"/>
            </w:pPr>
            <w:r>
              <w:t>46</w:t>
            </w:r>
          </w:p>
        </w:tc>
        <w:tc>
          <w:tcPr>
            <w:tcW w:w="999" w:type="dxa"/>
          </w:tcPr>
          <w:p w14:paraId="4F7AC25D" w14:textId="44ED8746" w:rsidR="00563A60" w:rsidRDefault="00563A60" w:rsidP="00563A60">
            <w:pPr>
              <w:jc w:val="center"/>
            </w:pPr>
            <w:r>
              <w:t>31</w:t>
            </w:r>
          </w:p>
        </w:tc>
      </w:tr>
    </w:tbl>
    <w:tbl>
      <w:tblPr>
        <w:tblStyle w:val="TableGrid"/>
        <w:tblpPr w:leftFromText="180" w:rightFromText="180" w:vertAnchor="text" w:horzAnchor="page" w:tblpX="5521" w:tblpY="63"/>
        <w:tblW w:w="0" w:type="auto"/>
        <w:tblLook w:val="04A0" w:firstRow="1" w:lastRow="0" w:firstColumn="1" w:lastColumn="0" w:noHBand="0" w:noVBand="1"/>
      </w:tblPr>
      <w:tblGrid>
        <w:gridCol w:w="1525"/>
        <w:gridCol w:w="1620"/>
      </w:tblGrid>
      <w:tr w:rsidR="00563A60" w14:paraId="58CB5B46" w14:textId="77777777" w:rsidTr="00563A60">
        <w:tc>
          <w:tcPr>
            <w:tcW w:w="1525" w:type="dxa"/>
          </w:tcPr>
          <w:p w14:paraId="74E59318" w14:textId="77777777" w:rsidR="00563A60" w:rsidRDefault="00563A60" w:rsidP="00563A60">
            <w:pPr>
              <w:tabs>
                <w:tab w:val="left" w:pos="1250"/>
              </w:tabs>
            </w:pPr>
            <w:r>
              <w:t>Accuracy</w:t>
            </w:r>
          </w:p>
        </w:tc>
        <w:tc>
          <w:tcPr>
            <w:tcW w:w="1620" w:type="dxa"/>
          </w:tcPr>
          <w:p w14:paraId="2648FAD4" w14:textId="77777777" w:rsidR="00563A60" w:rsidRDefault="00563A60" w:rsidP="00563A60">
            <w:pPr>
              <w:tabs>
                <w:tab w:val="left" w:pos="1250"/>
              </w:tabs>
            </w:pPr>
            <w:r>
              <w:t>91.93 %</w:t>
            </w:r>
          </w:p>
        </w:tc>
      </w:tr>
      <w:tr w:rsidR="00563A60" w14:paraId="14F84D7C" w14:textId="77777777" w:rsidTr="00563A60">
        <w:tc>
          <w:tcPr>
            <w:tcW w:w="1525" w:type="dxa"/>
          </w:tcPr>
          <w:p w14:paraId="0C79787B" w14:textId="77777777" w:rsidR="00563A60" w:rsidRDefault="00563A60" w:rsidP="00563A60">
            <w:pPr>
              <w:tabs>
                <w:tab w:val="left" w:pos="1250"/>
              </w:tabs>
            </w:pPr>
            <w:r>
              <w:t>Sensitivity</w:t>
            </w:r>
          </w:p>
        </w:tc>
        <w:tc>
          <w:tcPr>
            <w:tcW w:w="1620" w:type="dxa"/>
          </w:tcPr>
          <w:p w14:paraId="2B0FB750" w14:textId="77777777" w:rsidR="00563A60" w:rsidRDefault="00563A60" w:rsidP="00563A60">
            <w:pPr>
              <w:tabs>
                <w:tab w:val="left" w:pos="1250"/>
              </w:tabs>
            </w:pPr>
            <w:r>
              <w:t>99.92 %</w:t>
            </w:r>
          </w:p>
        </w:tc>
      </w:tr>
      <w:tr w:rsidR="00563A60" w14:paraId="51D1D126" w14:textId="77777777" w:rsidTr="00563A60">
        <w:tc>
          <w:tcPr>
            <w:tcW w:w="1525" w:type="dxa"/>
          </w:tcPr>
          <w:p w14:paraId="14C14439" w14:textId="77777777" w:rsidR="00563A60" w:rsidRDefault="00563A60" w:rsidP="00563A60">
            <w:pPr>
              <w:tabs>
                <w:tab w:val="left" w:pos="1250"/>
              </w:tabs>
            </w:pPr>
            <w:r>
              <w:t>Specificity</w:t>
            </w:r>
          </w:p>
        </w:tc>
        <w:tc>
          <w:tcPr>
            <w:tcW w:w="1620" w:type="dxa"/>
          </w:tcPr>
          <w:p w14:paraId="5562FEB2" w14:textId="77777777" w:rsidR="00563A60" w:rsidRDefault="00563A60" w:rsidP="00563A60">
            <w:pPr>
              <w:tabs>
                <w:tab w:val="left" w:pos="1250"/>
              </w:tabs>
            </w:pPr>
            <w:r>
              <w:t>5.91%</w:t>
            </w:r>
          </w:p>
        </w:tc>
      </w:tr>
    </w:tbl>
    <w:p w14:paraId="677FE32F" w14:textId="77777777" w:rsidR="00563A60" w:rsidRDefault="00563A60"/>
    <w:p w14:paraId="3E63D78E" w14:textId="77777777" w:rsidR="00563A60" w:rsidRDefault="00563A60" w:rsidP="00563A60">
      <w:pPr>
        <w:tabs>
          <w:tab w:val="left" w:pos="1250"/>
        </w:tabs>
      </w:pPr>
      <w:r>
        <w:tab/>
      </w:r>
    </w:p>
    <w:p w14:paraId="677F9FA7" w14:textId="30292CB2" w:rsidR="00563A60" w:rsidRDefault="00563A60" w:rsidP="00563A60">
      <w:pPr>
        <w:tabs>
          <w:tab w:val="left" w:pos="1250"/>
        </w:tabs>
      </w:pPr>
    </w:p>
    <w:p w14:paraId="69285401" w14:textId="2972C023" w:rsidR="00563A60" w:rsidRDefault="00547CBA">
      <w:r>
        <w:t xml:space="preserve">Since the cost (or damage) of giving a loan to a customer who cannot re-pay is much </w:t>
      </w:r>
      <w:proofErr w:type="gramStart"/>
      <w:r>
        <w:t>more costlier</w:t>
      </w:r>
      <w:proofErr w:type="gramEnd"/>
      <w:r>
        <w:t xml:space="preserve"> than not giving a loan to an eligible customer (cost of loosing business), a cost analysis was done by making the cost of approving a bad loan to be five times more costly than not approving a loan for a customer who would repay. A probability threshold value of 0.16 gave the minimum cost as shown in the below figure.</w:t>
      </w:r>
    </w:p>
    <w:p w14:paraId="30104F31" w14:textId="77777777" w:rsidR="00F82505" w:rsidRDefault="00F82505"/>
    <w:p w14:paraId="4ABC672D" w14:textId="51DCA029" w:rsidR="00E62A72" w:rsidRDefault="00F82505">
      <w:r w:rsidRPr="00F82505">
        <w:drawing>
          <wp:inline distT="0" distB="0" distL="0" distR="0" wp14:anchorId="17F91C7D" wp14:editId="4AC6A7D9">
            <wp:extent cx="4940554" cy="2857647"/>
            <wp:effectExtent l="0" t="0" r="0" b="0"/>
            <wp:docPr id="186318575" name="Picture 1" descr="A graph with a lin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18575" name="Picture 1" descr="A graph with a line graph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285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CC66C" w14:textId="77777777" w:rsidR="00547CBA" w:rsidRDefault="00547CBA" w:rsidP="00313F4E"/>
    <w:p w14:paraId="1225E1C9" w14:textId="77777777" w:rsidR="00547CBA" w:rsidRDefault="00547CBA" w:rsidP="00313F4E"/>
    <w:p w14:paraId="60DE9CC2" w14:textId="7924C1A5" w:rsidR="00313F4E" w:rsidRDefault="00313F4E" w:rsidP="00313F4E">
      <w:r>
        <w:lastRenderedPageBreak/>
        <w:t>Confusion Matrix and accuracy of the model for p=0.16 probability cut-off threshold after optimizing for cost</w:t>
      </w:r>
      <w:r w:rsidR="00547CBA">
        <w:t xml:space="preserve"> are shown below: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85"/>
        <w:gridCol w:w="340"/>
        <w:gridCol w:w="990"/>
        <w:gridCol w:w="999"/>
      </w:tblGrid>
      <w:tr w:rsidR="00313F4E" w14:paraId="26B390BA" w14:textId="77777777" w:rsidTr="00BC5568">
        <w:tc>
          <w:tcPr>
            <w:tcW w:w="1525" w:type="dxa"/>
            <w:gridSpan w:val="2"/>
            <w:vMerge w:val="restart"/>
          </w:tcPr>
          <w:p w14:paraId="5730B72F" w14:textId="77777777" w:rsidR="00313F4E" w:rsidRDefault="00313F4E" w:rsidP="00BC5568">
            <w:pPr>
              <w:jc w:val="center"/>
            </w:pPr>
            <w:r>
              <w:t>0= Can pay</w:t>
            </w:r>
          </w:p>
          <w:p w14:paraId="02F077D2" w14:textId="77777777" w:rsidR="00313F4E" w:rsidRDefault="00313F4E" w:rsidP="00BC5568">
            <w:pPr>
              <w:jc w:val="center"/>
            </w:pPr>
            <w:r>
              <w:t>1= Can’t pay</w:t>
            </w:r>
          </w:p>
        </w:tc>
        <w:tc>
          <w:tcPr>
            <w:tcW w:w="1989" w:type="dxa"/>
            <w:gridSpan w:val="2"/>
          </w:tcPr>
          <w:p w14:paraId="5E315C6C" w14:textId="77777777" w:rsidR="00313F4E" w:rsidRDefault="00313F4E" w:rsidP="00BC5568">
            <w:pPr>
              <w:jc w:val="center"/>
            </w:pPr>
            <w:r>
              <w:t>Reference</w:t>
            </w:r>
          </w:p>
        </w:tc>
      </w:tr>
      <w:tr w:rsidR="00313F4E" w14:paraId="632C259E" w14:textId="77777777" w:rsidTr="00BC5568">
        <w:tc>
          <w:tcPr>
            <w:tcW w:w="1525" w:type="dxa"/>
            <w:gridSpan w:val="2"/>
            <w:vMerge/>
          </w:tcPr>
          <w:p w14:paraId="51C3F2DB" w14:textId="77777777" w:rsidR="00313F4E" w:rsidRDefault="00313F4E" w:rsidP="00BC5568">
            <w:pPr>
              <w:jc w:val="center"/>
            </w:pPr>
          </w:p>
        </w:tc>
        <w:tc>
          <w:tcPr>
            <w:tcW w:w="990" w:type="dxa"/>
          </w:tcPr>
          <w:p w14:paraId="654899BE" w14:textId="77777777" w:rsidR="00313F4E" w:rsidRDefault="00313F4E" w:rsidP="00BC5568">
            <w:pPr>
              <w:jc w:val="center"/>
            </w:pPr>
            <w:r>
              <w:t xml:space="preserve">0 </w:t>
            </w:r>
          </w:p>
        </w:tc>
        <w:tc>
          <w:tcPr>
            <w:tcW w:w="999" w:type="dxa"/>
          </w:tcPr>
          <w:p w14:paraId="2D3EF43A" w14:textId="77777777" w:rsidR="00313F4E" w:rsidRDefault="00313F4E" w:rsidP="00BC5568">
            <w:pPr>
              <w:jc w:val="center"/>
            </w:pPr>
            <w:r>
              <w:t>1</w:t>
            </w:r>
          </w:p>
        </w:tc>
      </w:tr>
      <w:tr w:rsidR="00313F4E" w14:paraId="198C1651" w14:textId="77777777" w:rsidTr="00BC5568">
        <w:tc>
          <w:tcPr>
            <w:tcW w:w="1185" w:type="dxa"/>
            <w:vMerge w:val="restart"/>
          </w:tcPr>
          <w:p w14:paraId="2FAC025B" w14:textId="77777777" w:rsidR="00313F4E" w:rsidRDefault="00313F4E" w:rsidP="00BC5568">
            <w:pPr>
              <w:jc w:val="center"/>
            </w:pPr>
            <w:r>
              <w:t>Prediction</w:t>
            </w:r>
          </w:p>
        </w:tc>
        <w:tc>
          <w:tcPr>
            <w:tcW w:w="340" w:type="dxa"/>
          </w:tcPr>
          <w:p w14:paraId="74E31C5F" w14:textId="77777777" w:rsidR="00313F4E" w:rsidRDefault="00313F4E" w:rsidP="00BC5568">
            <w:pPr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47C45502" w14:textId="77777777" w:rsidR="00313F4E" w:rsidRDefault="00313F4E" w:rsidP="00BC5568">
            <w:pPr>
              <w:jc w:val="center"/>
            </w:pPr>
            <w:r>
              <w:t>53735</w:t>
            </w:r>
          </w:p>
        </w:tc>
        <w:tc>
          <w:tcPr>
            <w:tcW w:w="999" w:type="dxa"/>
          </w:tcPr>
          <w:p w14:paraId="51FE082A" w14:textId="77777777" w:rsidR="00313F4E" w:rsidRDefault="00313F4E" w:rsidP="00BC5568">
            <w:pPr>
              <w:jc w:val="center"/>
            </w:pPr>
            <w:r>
              <w:t>3394</w:t>
            </w:r>
          </w:p>
        </w:tc>
      </w:tr>
      <w:tr w:rsidR="00313F4E" w14:paraId="66C296A4" w14:textId="77777777" w:rsidTr="00BC5568">
        <w:tc>
          <w:tcPr>
            <w:tcW w:w="1185" w:type="dxa"/>
            <w:vMerge/>
          </w:tcPr>
          <w:p w14:paraId="2E40D9D9" w14:textId="77777777" w:rsidR="00313F4E" w:rsidRDefault="00313F4E" w:rsidP="00BC5568">
            <w:pPr>
              <w:jc w:val="center"/>
            </w:pPr>
          </w:p>
        </w:tc>
        <w:tc>
          <w:tcPr>
            <w:tcW w:w="340" w:type="dxa"/>
          </w:tcPr>
          <w:p w14:paraId="08F22B0F" w14:textId="77777777" w:rsidR="00313F4E" w:rsidRDefault="00313F4E" w:rsidP="00BC5568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4D6A8E07" w14:textId="77777777" w:rsidR="00313F4E" w:rsidRDefault="00313F4E" w:rsidP="00BC5568">
            <w:pPr>
              <w:jc w:val="center"/>
            </w:pPr>
            <w:r>
              <w:t>6151</w:t>
            </w:r>
          </w:p>
        </w:tc>
        <w:tc>
          <w:tcPr>
            <w:tcW w:w="999" w:type="dxa"/>
          </w:tcPr>
          <w:p w14:paraId="0BD7897F" w14:textId="77777777" w:rsidR="00313F4E" w:rsidRDefault="00313F4E" w:rsidP="00BC5568">
            <w:pPr>
              <w:jc w:val="center"/>
            </w:pPr>
            <w:r>
              <w:t>1848</w:t>
            </w:r>
          </w:p>
        </w:tc>
      </w:tr>
    </w:tbl>
    <w:tbl>
      <w:tblPr>
        <w:tblStyle w:val="TableGrid"/>
        <w:tblpPr w:leftFromText="180" w:rightFromText="180" w:vertAnchor="text" w:horzAnchor="page" w:tblpX="5521" w:tblpY="63"/>
        <w:tblW w:w="0" w:type="auto"/>
        <w:tblLook w:val="04A0" w:firstRow="1" w:lastRow="0" w:firstColumn="1" w:lastColumn="0" w:noHBand="0" w:noVBand="1"/>
      </w:tblPr>
      <w:tblGrid>
        <w:gridCol w:w="1525"/>
        <w:gridCol w:w="1620"/>
      </w:tblGrid>
      <w:tr w:rsidR="00313F4E" w14:paraId="737F8247" w14:textId="77777777" w:rsidTr="00BC5568">
        <w:tc>
          <w:tcPr>
            <w:tcW w:w="1525" w:type="dxa"/>
          </w:tcPr>
          <w:p w14:paraId="5219F2AF" w14:textId="77777777" w:rsidR="00313F4E" w:rsidRDefault="00313F4E" w:rsidP="00BC5568">
            <w:pPr>
              <w:tabs>
                <w:tab w:val="left" w:pos="1250"/>
              </w:tabs>
            </w:pPr>
            <w:r>
              <w:t>Accuracy</w:t>
            </w:r>
          </w:p>
        </w:tc>
        <w:tc>
          <w:tcPr>
            <w:tcW w:w="1620" w:type="dxa"/>
          </w:tcPr>
          <w:p w14:paraId="48800D00" w14:textId="77777777" w:rsidR="00313F4E" w:rsidRDefault="00313F4E" w:rsidP="00BC5568">
            <w:pPr>
              <w:tabs>
                <w:tab w:val="left" w:pos="1250"/>
              </w:tabs>
            </w:pPr>
            <w:r>
              <w:t>85.34 %</w:t>
            </w:r>
          </w:p>
        </w:tc>
      </w:tr>
      <w:tr w:rsidR="00313F4E" w14:paraId="04B9B4F0" w14:textId="77777777" w:rsidTr="00BC5568">
        <w:tc>
          <w:tcPr>
            <w:tcW w:w="1525" w:type="dxa"/>
          </w:tcPr>
          <w:p w14:paraId="7DB5D05B" w14:textId="77777777" w:rsidR="00313F4E" w:rsidRDefault="00313F4E" w:rsidP="00BC5568">
            <w:pPr>
              <w:tabs>
                <w:tab w:val="left" w:pos="1250"/>
              </w:tabs>
            </w:pPr>
            <w:r>
              <w:t>Sensitivity</w:t>
            </w:r>
          </w:p>
        </w:tc>
        <w:tc>
          <w:tcPr>
            <w:tcW w:w="1620" w:type="dxa"/>
          </w:tcPr>
          <w:p w14:paraId="430728EC" w14:textId="77777777" w:rsidR="00313F4E" w:rsidRDefault="00313F4E" w:rsidP="00BC5568">
            <w:pPr>
              <w:tabs>
                <w:tab w:val="left" w:pos="1250"/>
              </w:tabs>
            </w:pPr>
            <w:r>
              <w:t>89.73 %</w:t>
            </w:r>
          </w:p>
        </w:tc>
      </w:tr>
      <w:tr w:rsidR="00313F4E" w14:paraId="014D54AF" w14:textId="77777777" w:rsidTr="00BC5568">
        <w:tc>
          <w:tcPr>
            <w:tcW w:w="1525" w:type="dxa"/>
          </w:tcPr>
          <w:p w14:paraId="635F0E70" w14:textId="77777777" w:rsidR="00313F4E" w:rsidRDefault="00313F4E" w:rsidP="00BC5568">
            <w:pPr>
              <w:tabs>
                <w:tab w:val="left" w:pos="1250"/>
              </w:tabs>
            </w:pPr>
            <w:r>
              <w:t>Specificity</w:t>
            </w:r>
          </w:p>
        </w:tc>
        <w:tc>
          <w:tcPr>
            <w:tcW w:w="1620" w:type="dxa"/>
          </w:tcPr>
          <w:p w14:paraId="50B9C1D1" w14:textId="77777777" w:rsidR="00313F4E" w:rsidRDefault="00313F4E" w:rsidP="00BC5568">
            <w:pPr>
              <w:tabs>
                <w:tab w:val="left" w:pos="1250"/>
              </w:tabs>
            </w:pPr>
            <w:r>
              <w:t>35.25%</w:t>
            </w:r>
          </w:p>
        </w:tc>
      </w:tr>
    </w:tbl>
    <w:p w14:paraId="0EB66451" w14:textId="77777777" w:rsidR="00313F4E" w:rsidRDefault="00313F4E" w:rsidP="00313F4E"/>
    <w:p w14:paraId="06332763" w14:textId="77777777" w:rsidR="00313F4E" w:rsidRDefault="00313F4E" w:rsidP="00313F4E">
      <w:pPr>
        <w:tabs>
          <w:tab w:val="left" w:pos="1250"/>
        </w:tabs>
      </w:pPr>
      <w:r>
        <w:tab/>
      </w:r>
    </w:p>
    <w:p w14:paraId="78EAC042" w14:textId="77777777" w:rsidR="00313F4E" w:rsidRDefault="00313F4E"/>
    <w:p w14:paraId="250239E1" w14:textId="08918B6F" w:rsidR="006C43E5" w:rsidRDefault="006C43E5">
      <w:r>
        <w:t xml:space="preserve">AUC was 0.738 for the optimum probability cut-off threshold of </w:t>
      </w:r>
      <w:proofErr w:type="gramStart"/>
      <w:r>
        <w:t>0.16</w:t>
      </w:r>
      <w:proofErr w:type="gramEnd"/>
      <w:r>
        <w:t xml:space="preserve"> </w:t>
      </w:r>
    </w:p>
    <w:p w14:paraId="45517244" w14:textId="681113EC" w:rsidR="007F4C89" w:rsidRDefault="00590D73">
      <w:r w:rsidRPr="00590D73">
        <w:rPr>
          <w:noProof/>
        </w:rPr>
        <w:drawing>
          <wp:inline distT="0" distB="0" distL="0" distR="0" wp14:anchorId="72364622" wp14:editId="272D7ACB">
            <wp:extent cx="4845299" cy="3359323"/>
            <wp:effectExtent l="0" t="0" r="0" b="0"/>
            <wp:docPr id="515668044" name="Picture 1" descr="A graph with a cur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668044" name="Picture 1" descr="A graph with a curv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5299" cy="335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31AF">
        <w:t xml:space="preserve"> </w:t>
      </w:r>
    </w:p>
    <w:sectPr w:rsidR="007F4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9F7"/>
    <w:rsid w:val="00313F4E"/>
    <w:rsid w:val="003E015E"/>
    <w:rsid w:val="0045624D"/>
    <w:rsid w:val="00547CBA"/>
    <w:rsid w:val="00563A60"/>
    <w:rsid w:val="00590D73"/>
    <w:rsid w:val="006C43E5"/>
    <w:rsid w:val="0078640B"/>
    <w:rsid w:val="007A667C"/>
    <w:rsid w:val="007F4C89"/>
    <w:rsid w:val="00860C01"/>
    <w:rsid w:val="00983EE9"/>
    <w:rsid w:val="00D431AF"/>
    <w:rsid w:val="00D82140"/>
    <w:rsid w:val="00DB79F7"/>
    <w:rsid w:val="00E45E9B"/>
    <w:rsid w:val="00E62A72"/>
    <w:rsid w:val="00F82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7E041"/>
  <w15:chartTrackingRefBased/>
  <w15:docId w15:val="{8318FE4F-BBF8-4F1F-A06B-C78A0F18F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9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79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9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9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9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9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9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9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9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9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79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79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9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9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9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9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9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9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79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9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79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79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79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79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79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9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9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79F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63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5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 .</dc:creator>
  <cp:keywords/>
  <dc:description/>
  <cp:lastModifiedBy>Shravan .</cp:lastModifiedBy>
  <cp:revision>14</cp:revision>
  <dcterms:created xsi:type="dcterms:W3CDTF">2024-04-07T00:44:00Z</dcterms:created>
  <dcterms:modified xsi:type="dcterms:W3CDTF">2024-04-18T22:49:00Z</dcterms:modified>
</cp:coreProperties>
</file>