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27"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preferred-groups"/>
    <w:p>
      <w:pPr>
        <w:pStyle w:val="Titre2"/>
      </w:pPr>
      <w:r>
        <w:t xml:space="preserve">Preferred Groups</w:t>
      </w:r>
    </w:p>
    <w:p>
      <w:pPr>
        <w:pStyle w:val="FirstParagraph"/>
      </w:pPr>
      <w:r>
        <w:t xml:space="preserve">There are 17 preferred groups. Seven are family groups; eight are individual species reported alongside the family group that contains them; and two, northern pike and muskellunge, replace the Esocids family group outright. Species that fall outside every family group keep their place in the Overall column of every table but receive no preferred-group column of their own.</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r>
    </w:tbl>
    <w:p>
      <w:pPr>
        <w:pStyle w:val="Corpsdetexte"/>
      </w:pPr>
      <w:r>
        <w:t xml:space="preserve">Preferred species that fall outside every family group. These 41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Excluded from preferred groups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bl>
    <w:p>
      <w:pPr>
        <w:pStyle w:val="Corpsdetexte"/>
      </w:pPr>
      <w:r>
        <w:t xml:space="preserve">The preferred groups cover 1,874 distinct respondents of the 1,915 in the analysis sample; 41 do not appear in any preferred-group column. Because family columns contain their own species columns, the respondent counts in the table above add to more than 1,874 and should not be totalled.</w:t>
      </w:r>
    </w:p>
    <w:bookmarkEnd w:id="21"/>
    <w:bookmarkStart w:id="26" w:name="comparisons-within-family-groups"/>
    <w:p>
      <w:pPr>
        <w:pStyle w:val="Titre2"/>
      </w:pPr>
      <w:r>
        <w:t xml:space="preserve">Comparisons Within Family Groups</w:t>
      </w:r>
    </w:p>
    <w:p>
      <w:pPr>
        <w:pStyle w:val="FirstParagraph"/>
      </w:pPr>
      <w:r>
        <w:t xml:space="preserve">The four family groups below contain more than one species, so each is shown broken out by species alongside the family group as a whole. These are the comparisons used to decide whether any individual species is reported separately in later chapters.</w:t>
      </w:r>
    </w:p>
    <w:bookmarkStart w:id="22"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r>
    </w:tbl>
    <w:bookmarkEnd w:id="22"/>
    <w:bookmarkStart w:id="23"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0.725</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0.775</w:t>
            </w:r>
          </w:p>
        </w:tc>
      </w:tr>
    </w:tbl>
    <w:p>
      <w:pPr>
        <w:pStyle w:val="Corpsdetexte"/>
      </w:pPr>
      <w:r>
        <w:br w:type="page"/>
      </w:r>
    </w:p>
    <w:bookmarkEnd w:id="25"/>
    <w:bookmarkEnd w:id="26"/>
    <w:bookmarkEnd w:id="27"/>
    <w:bookmarkStart w:id="41"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28"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24.97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Trout and Channel catfish anglers report the highest satisfaction, each averaging roughly 3.6 on the five-point scale, with more than half of each group agreeing or strongly agreeing and well under a fifth disagreeing. Walleye/Sauger anglers – the largest single preferred group in the survey – report the lowest satisfaction of any well-represented group, averaging 2.8, and are the only large group where more anglers disagree (40%) than agree (28%). The roughly three-quarter-point gap between Walleye/Sauger and Trout/Channel catfish anglers is the largest contrast among the larger preferred groups for this item, and may point to a difference in how reliably each species can be caught rather than a difference in how much anglers enjoy the pursuit itself. A similar pattern shows up within single families: Channel catfish anglers are considerably more satisfied (3.6) than Blue catfish (2.8) or Flathead catfish (3.0) anglers, and Yellow perch anglers report much lower satisfaction (2.4) than Bluegill/Sunfish (3.3) or Crappie (3.2) anglers within the panfish group.</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28"/>
    <w:bookmarkStart w:id="29"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22.21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35.59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Overall, disagreement (38%) outweighs agreement (24%) with this trade-off. Northern pike and Muskellunge anglers reject it most strongly of any preferred group, both averaging about 2.4 on the five-point scale, and Flathead catfish and Yellow perch anglers post the next-highest disagreement rates, at about half of each group. Pike and muskellunge anglers pursue larger, trophy-oriented fish, which may explain their reluctance to trade size for numbers. Blue catfish anglers stand apart at the opposite end as the only group where agreement (48%) outweighs disagreement (17%) by a wide margin, suggesting Blue catfish anglers place comparatively more value on numbers over size than anglers preferring any other species.</w:t>
      </w:r>
    </w:p>
    <w:p>
      <w:pPr>
        <w:pStyle w:val="Corpsdetexte"/>
      </w:pPr>
      <w:r>
        <w:t xml:space="preserve">Blue catfish anglers’ agreement rose sharply between 2018 and 2025, from 2.3 to 3.4 – the largest year-over-year movement seen on this item, carrying them from the most reluctant group in 2018 to the most willing in 2025. No other group’s change was large enough to appear in the figure above.</w:t>
      </w:r>
    </w:p>
    <w:bookmarkEnd w:id="29"/>
    <w:bookmarkStart w:id="30"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18.64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56.1 ± 29.22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size-increasing regulations is broad across every preferred group, but Muskellunge (4.5), Moronides (4.2), and Northern pike (4.0) anglers support it most strongly, while Yellow perch anglers support it least (3.3) and also disagree more than any other group (27%) – a pattern that may reflect perch anglers’ comparative indifference to trophy size on a species rarely pursued for its size in the first place. Largemouth and Smallmouth bass anglers are closely aligned with each other on this item (3.9 each), unlike several other items in this battery where the two bass species diverge.</w:t>
      </w:r>
    </w:p>
    <w:p>
      <w:pPr>
        <w:pStyle w:val="Corpsdetexte"/>
      </w:pPr>
      <w:r>
        <w:t xml:space="preserve">No group’s change between 2018 and 2025 was large enough to appear in the figure above. What distinguishes the groups in 2025 is instead the firmness of the support: in every group but Yellow perch, supporters outnumber opponents by at least three to one, and not a single Muskellunge respondent chose neutral – every angler in that group took a side.</w:t>
      </w:r>
    </w:p>
    <w:bookmarkEnd w:id="30"/>
    <w:bookmarkStart w:id="31"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28.90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21.22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aimed at increasing numbers is stronger and more uniform across preferred groups than support for size-increasing regulations was on the previous item – disagreement stays in the single digits for most groups, and every Muskellunge respondent agreed. Muskellunge and Blue catfish anglers support numbers-focused regulation most strongly; Yellow perch and Crappie anglers support it comparatively least, though a clear majority of both still agree.</w:t>
      </w:r>
    </w:p>
    <w:p>
      <w:pPr>
        <w:pStyle w:val="Corpsdetexte"/>
      </w:pPr>
      <w:r>
        <w:t xml:space="preserve">No group’s change between 2018 and 2025 was large enough to appear in the figure above. Set against the previous item, most groups support numbers-focused regulation more strongly than size-focused regulation; Northern pike anglers are the main exception, backing size rules somewhat more strongly, with Moronides and Crappie anglers rating the two about equally. That tilt toward numbers over size may indicate that, for most anglers, catching fish at all matters more than catching bigger ones.</w:t>
      </w:r>
    </w:p>
    <w:bookmarkEnd w:id="31"/>
    <w:bookmarkStart w:id="32"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36.33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This item asks about the opposite trade-off from the harvest-satisfaction item above – willingness to accept fewer fish in exchange for larger ones – and the pattern largely mirrors it. Muskellunge (3.9) and Smallmouth bass (3.9) anglers are most willing to make that trade; Bluegill/Sunfish (3.2) and Walleye/Sauger anglers are least willing among the larger groups. Yellow perch anglers land in the middle on average but are unusually divided, with about a third disagreeing, one of the higher disagreement rates on this item.</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Muskellunge and both bass groups – are the same ones that lean toward size over harvest opportunity there, while Walleye/Sauger anglers, among the least willing here, lean furthest toward harvest opportunity. No group falls below neutral on average, so the differences are in degree of willingness, not direction.</w:t>
      </w:r>
    </w:p>
    <w:bookmarkEnd w:id="32"/>
    <w:bookmarkStart w:id="33"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29.01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30.60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23.91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49.4 ± 21.53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Yellow perch and Blue catfish anglers feel most strongly that their preferred fish has become harder to catch, and Walleye/Sauger anglers – the largest preferred group – also lean toward agreement, with 56% agreeing. Bluegill/Sunfish and Channel catfish anglers feel this least. The two catfish species diverge sharply from each other here – Channel catfish anglers see little change in difficulty while Blue catfish anglers see a great deal – and the same divergence appears within panfish, where Yellow perch anglers report much more difficulty than Bluegill/Sunfish anglers despite both belonging to the same combined preferred group.</w:t>
      </w:r>
    </w:p>
    <w:p>
      <w:pPr>
        <w:pStyle w:val="Corpsdetexte"/>
      </w:pPr>
      <w:r>
        <w:t xml:space="preserve">Agreement that the preferred fish has become harder to catch rose modestly across all anglers between 2018 and 2025, from 3.2 to 3.3 – one of only two items in this battery, along with the water-availability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3"/>
    <w:bookmarkStart w:id="34"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26.09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Trout (3.3) and Walleye/Sauger (3.2) anglers lean furthest toward valuing the opportunity to harvest their preferred fish over its size, though neither sits far above the scale midpoint. Smallmouth bass anglers are the clear outlier at the other end, disagreeing by more than four to one – consistent with smallmouth bass fisheries’ typical size- and release-oriented management. Both bass species in fact lean toward size over harvest, but Smallmouth bass anglers (2.4) do so far more sharply than Largemouth bass anglers (2.7), and Moronides (2.6) and Muskellunge (2.7) anglers land near them at the size-oriented end of the scale.</w:t>
      </w:r>
    </w:p>
    <w:p>
      <w:pPr>
        <w:pStyle w:val="Corpsdetexte"/>
      </w:pPr>
      <w:r>
        <w:t xml:space="preserve">Moronides anglers are the only group whose change between 2018 and 2025 appears in the figure above, moving from leaning toward harvest opportunity (3.2) to leaning toward size (2.6) – one of the larger single-group shifts in this battery, and one that carries Moronides anglers from the harvest-oriented end of this item across to the size-oriented end, alongside the bass groups.</w:t>
      </w:r>
    </w:p>
    <w:bookmarkEnd w:id="34"/>
    <w:bookmarkStart w:id="35"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 ± 29.32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26.78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25.55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 ± 35.87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register the strongest disagreement seen anywhere in this battery – roughly three in four disagree that they travel too far – consistent with panfish being widely available close to home, and Largemouth bass and catfish anglers broadly share that view. Yellow perch (3.8) and Muskellunge (3.6) anglers sit at the opposite extreme – not a single Yellow perch respondent disagreed – suggesting perch and muskellunge anglers travel farther for their preferred fish than most other anglers do. Walleye/Sauger, Moronides, and Trout anglers also lean further toward agreement than the overall average, which may reflect how concentrated the waters holding those species are.</w:t>
      </w:r>
    </w:p>
    <w:p>
      <w:pPr>
        <w:pStyle w:val="Corpsdetexte"/>
      </w:pPr>
      <w:r>
        <w:t xml:space="preserve">No group’s change between 2018 and 2025 was large enough to appear in the figure above. The travel pattern does line up with the water-availability item at the end of this battery: Yellow perch, Muskellunge, and Northern pike anglers sit at or near the top of both, while Bluegill/Sunfish and Channel catfish anglers sit at or near the bottom of both, suggesting that travel distance and the perceived shortage of places to fish are two readings of the same underlying access picture for these species.</w:t>
      </w:r>
    </w:p>
    <w:bookmarkEnd w:id="35"/>
    <w:bookmarkStart w:id="36"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28.55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25.50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Moronides (3.8) and Muskellunge (3.8) anglers report the highest satisfaction with the size of fish they catch; Yellow perch (2.8) and Northern pike (3.0) anglers report the lowest. The gap between Muskellunge and Northern pike anglers is notable given both prefer esocids – muskellunge, which grow considerably larger than pike, appear to deliver more size satisfaction to the anglers who pursue them. Within the bass and panfish families, Smallmouth bass and Bluegill/Sunfish anglers (both 3.5) are clearly more size-satisfied than Largemouth bass (3.0) and Yellow perch anglers respectively.</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nearly half of Blue catfish anglers (47%) and four in ten Trout anglers take no side at all.</w:t>
      </w:r>
    </w:p>
    <w:bookmarkEnd w:id="36"/>
    <w:bookmarkStart w:id="37"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21.51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36.32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and Muskellunge anglers are most satisfied with the size limits that govern harvest of their preferred fish, and agreement outweighs disagreement in every group but one: Northern pike anglers, where disagreement (40%) edges out agreement (38%). That echoes the pike/muskellunge gap seen on the size-satisfaction item above – pike anglers appear comparatively dissatisfied with both the size of fish they catch and the size they are allowed to keep.</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Moronides anglers are the one clear exception, rating the size they catch (3.8) above the size they are allowed to keep (3.5), which may hint that where Moronides anglers have a complaint, it is with the rules rather than the fish.</w:t>
      </w:r>
    </w:p>
    <w:bookmarkEnd w:id="37"/>
    <w:bookmarkStart w:id="38"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28.59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(3.6) and Channel catfish (3.4) anglers are most satisfied with the number of fish they catch; Yellow perch (2.7) and Flathead catfish (2.8) anglers are least. The catfish family splits sharply on this item: half of Flathead catfish anglers disagree – the highest disagreement rate of any group on this item – and Blue catfish anglers also lean toward dissatisfaction, while Channel catfish anglers are among the most satisfied groups, which may point to differences in how consistently each catfish species can be caught rather than anything about catfish angling as a whole.</w:t>
      </w:r>
    </w:p>
    <w:p>
      <w:pPr>
        <w:pStyle w:val="Corpsdetexte"/>
      </w:pPr>
      <w:r>
        <w:t xml:space="preserve">No group’s change between 2018 and 2025 was large enough to appear in the figure above. The 2025 ranking largely mirrors the overall fishing-success item at the top of this battery – Channel catfish and Trout anglers near the top of both, Yellow perch and Walleye/Sauger anglers near the bottom of both – which may indicate that when anglers judge their overall success, the number of fish caught weighs at least as heavily as their size.</w:t>
      </w:r>
    </w:p>
    <w:bookmarkEnd w:id="38"/>
    <w:bookmarkStart w:id="39"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 ± 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are again the most satisfied group, this time with harvest-number limits, and a majority of most groups agree. Both esocid species land at the bottom together on average, but they arrive there differently: Northern pike anglers (3.1) show real dissatisfaction, with about three in ten disagreeing, while Muskellunge anglers (3.2) are overwhelmingly neutral rather than dissatisfied – not one disagreed. Yellow perch anglers (3.3) sit just above the esocids, continuing the comparatively low perch satisfaction that runs through most of the satisfaction items in this battery.</w:t>
      </w:r>
    </w:p>
    <w:p>
      <w:pPr>
        <w:pStyle w:val="Corpsdetexte"/>
      </w:pPr>
      <w:r>
        <w:t xml:space="preserve">Moronides anglers are the only group whose change between 2018 and 2025 appears in the figure above, declining by nearly half a point – from the most satisfied group on this item in 2018 to the lower third in 2025, a reversal worth noting given their generally high standing on the other satisfaction items in this battery.</w:t>
      </w:r>
    </w:p>
    <w:bookmarkEnd w:id="39"/>
    <w:bookmarkStart w:id="40"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25.33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22.99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 35.08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Muskellunge anglers agree more strongly than any other preferred group (4.3) that there are not enough places to fish for their preferred fish, and Northern pike (3.5) and Yellow perch (3.5) anglers also lean toward agreement – consistent with muskellunge, pike, and perch all being managed in a comparatively limited number of Nebraska waters. Bluegill/Sunfish and Channel catfish anglers feel the opposite, disagreeing by roughly two to one, consistent with how widely those species are stocked and available.</w:t>
      </w:r>
    </w:p>
    <w:p>
      <w:pPr>
        <w:pStyle w:val="Corpsdetexte"/>
      </w:pPr>
      <w:r>
        <w:t xml:space="preserve">Flathead catfish anglers’ agreement rose sharply between 2018 and 2025, from 2.5 to 3.3 – the largest movement of any group on this item, and second in this battery only to Blue catfish anglers’ shift on the smaller-fish trade-off item. Agreement across all anglers also crept upward between the two years, from 2.9 to 3.1, another instance, like the difficulty-of-catching item earlier, where the shift shows up broadly rather than only within individual preferred groups.</w:t>
      </w:r>
    </w:p>
    <w:bookmarkEnd w:id="40"/>
    <w:bookmarkEnd w:id="41"/>
    <w:bookmarkStart w:id="79"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2"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53.9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81.2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2"/>
    <w:bookmarkStart w:id="43"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53.8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3"/>
    <w:bookmarkStart w:id="44"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81.1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4"/>
    <w:bookmarkStart w:id="45"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5"/>
    <w:bookmarkStart w:id="46"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23.81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28.15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27.98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92.0 ± 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93.3 ± 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35.17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46"/>
    <w:bookmarkStart w:id="47"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28.33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29.41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66.2 ±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 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35.42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76.4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7"/>
    <w:bookmarkStart w:id="48"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92.2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8"/>
    <w:bookmarkStart w:id="49"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29.30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36.27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49"/>
    <w:bookmarkStart w:id="50"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71.8 ± 30.67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 ± 33.59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37.44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34.35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23.09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89.7 ± 13.38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21.43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22.55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22.71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6.34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87.7 ± 8.15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10.09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11.10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 ± 11.20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2.02 (70)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0"/>
    <w:bookmarkStart w:id="51"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27.18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30/50/176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80/176/176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16/146/438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1"/>
    <w:bookmarkStart w:id="52"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23/30/113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30/80/176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16/146/376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2"/>
    <w:bookmarkStart w:id="53"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3"/>
    <w:bookmarkStart w:id="54"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86.9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4"/>
    <w:bookmarkStart w:id="55"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5"/>
    <w:bookmarkStart w:id="56"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6.56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56"/>
    <w:bookmarkStart w:id="57"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19.0/25.8/62.5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64"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59"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0.79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0.54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0.56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59"/>
    <w:bookmarkStart w:id="60"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0.74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0.41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0.24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0.30 (82)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0.84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0.86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0"/>
    <w:bookmarkStart w:id="61"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0.70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1.02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1"/>
    <w:bookmarkStart w:id="62"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0.78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2"/>
    <w:bookmarkStart w:id="63"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0.58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3"/>
    <w:bookmarkEnd w:id="64"/>
    <w:bookmarkStart w:id="70"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5"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0.87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0.72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0.35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5"/>
    <w:bookmarkStart w:id="66"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0.80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0.63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0.73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0.49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66"/>
    <w:bookmarkStart w:id="67"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0.50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0.65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0.33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1.23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67"/>
    <w:bookmarkStart w:id="68"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0.79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0.69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68"/>
    <w:bookmarkStart w:id="69"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0.47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0.53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0.16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0.50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9"/>
    <w:bookmarkEnd w:id="70"/>
    <w:bookmarkStart w:id="76"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1"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0.96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0.67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0.32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0.94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0.79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1"/>
    <w:bookmarkStart w:id="72"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2"/>
    <w:bookmarkStart w:id="73"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0.44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0.81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0.51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3"/>
    <w:bookmarkStart w:id="74"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0.32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0.50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4"/>
    <w:bookmarkStart w:id="75"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0.22 (71)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0.26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0.42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5"/>
    <w:bookmarkEnd w:id="76"/>
    <w:bookmarkStart w:id="77"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91.2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80.7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77"/>
    <w:bookmarkStart w:id="78"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22.53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 ± 31.19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30.36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23.25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33.30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78"/>
    <w:bookmarkEnd w:id="79"/>
    <w:bookmarkStart w:id="87"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0"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0"/>
    <w:bookmarkStart w:id="81"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p>
      <w:pPr>
        <w:sectPr>
          <w:pgMar w:header="708" w:bottom="1417" w:top="1417" w:right="1417" w:left="1417" w:footer="708" w:gutter="0"/>
          <w:pgSz w:h="11906" w:w="16838" w:orient="landscape"/>
          <w:type w:val="nextPage"/>
          <w:cols/>
        </w:sectPr>
      </w:pPr>
    </w:p>
    <w:bookmarkEnd w:id="81"/>
    <w:bookmarkStart w:id="84" w:name="consistency-between-the-items"/>
    <w:p>
      <w:pPr>
        <w:pStyle w:val="Titre2"/>
      </w:pPr>
      <w:r>
        <w:t xml:space="preserve">Consistency between the items</w:t>
      </w:r>
    </w:p>
    <w:p>
      <w:pPr>
        <w:pStyle w:val="FirstParagraph"/>
      </w:pPr>
      <w:r>
        <w:t xml:space="preserve">Two different questions are asked here. The first table asks whether individual anglers answer the six items alike: an angler satisfied with one thing is, or is not, satisfied with the others. The second asks whether the preferred groups rank alike across items: the groups that rate the season highly are, or are not, the groups satisfied with size or with numbers. A set of items can behave one way at the respondent level and the other way at the group level, so both are shown.</w:t>
      </w:r>
    </w:p>
    <w:bookmarkStart w:id="82" w:name="X3cbfaa09669a482c6066400f8db1f2d8c4923f5"/>
    <w:p>
      <w:pPr>
        <w:pStyle w:val="Titre3"/>
      </w:pPr>
      <w:r>
        <w:t xml:space="preserve">Agreement between individual anglers’ answers</w:t>
      </w:r>
    </w:p>
    <w:p>
      <w:pPr>
        <w:pStyle w:val="FirstParagraph"/>
      </w:pPr>
      <w:r>
        <w:t xml:space="preserve">Weighted correlations between the six items, computed on the 1,489 respondents who answered all six. Cells are weighted Pearson correlations on the respondents who answered all six items. They are descriptive: no test and no adjustment for multiple comparisons is reported.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r>
    </w:tbl>
    <w:p>
      <w:pPr>
        <w:pStyle w:val="Corpsdetexte"/>
      </w:pPr>
      <w:r>
        <w:t xml:space="preserve">For reference, the four D4 satisfaction items form the Satisfaction sub-scale identified by the separate analysis of the D4 battery; their weighted alpha on this report’s sample is 0.762 on 1,506 respondents. No composite score is built here and none is used anywhere in this report, which stays item-level. A9 asks about the season rather than about the preferred fish, and the D4 analysis places D4a with the constraint items rather than the satisfaction items, so neither is included in that coefficient. A single coefficient across all six would also conceal the structure visible in the table above.</w:t>
      </w:r>
    </w:p>
    <w:p>
      <w:pPr>
        <w:pStyle w:val="Corpsdetexte"/>
      </w:pPr>
      <w:r>
        <w:br w:type="page"/>
      </w:r>
    </w:p>
    <w:bookmarkEnd w:id="82"/>
    <w:bookmarkStart w:id="83" w:name="agreement-between-the-group-averages"/>
    <w:p>
      <w:pPr>
        <w:pStyle w:val="Titre3"/>
      </w:pPr>
      <w:r>
        <w:t xml:space="preserve">Agreement between the group averages</w:t>
      </w:r>
    </w:p>
    <w:p>
      <w:pPr>
        <w:pStyle w:val="FirstParagraph"/>
      </w:pPr>
      <w:r>
        <w:t xml:space="preserve">Rank correlations between the preferred-group means shown in the previous section, one observation per group. Cells are Spearman rank correlations between the 17 preferred-group means, one observation per group, taken from the table above. The groups overlap, because a family row contains its own species rows, so these summarise that table rather than estimate a population quantity; no standard error or test is reported.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r>
    </w:tbl>
    <w:p>
      <w:pPr>
        <w:pStyle w:val="Corpsdetexte"/>
      </w:pPr>
      <w:r>
        <w:br w:type="page"/>
      </w:r>
    </w:p>
    <w:bookmarkEnd w:id="83"/>
    <w:bookmarkEnd w:id="84"/>
    <w:bookmarkStart w:id="85"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Blue catfish, Moronides, Catfish, Walleye / Sauger; it lies below zero, with numbers rated higher than size, for Largemouth bass, Bass. For the remaining 10 groups the interval includes zero. Overall the difference is 0.07 ± 0.06.</w:t>
      </w:r>
    </w:p>
    <w:p>
      <w:pPr>
        <w:pStyle w:val="Corpsdetexte"/>
      </w:pPr>
      <w:r>
        <w:br w:type="page"/>
      </w:r>
    </w:p>
    <w:bookmarkEnd w:id="85"/>
    <w:bookmarkStart w:id="86"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Muskellunge / Tiger musky, and below zero for No preference. For the remaining 15 groups the interval includes zero. Overall the difference is -0.00 ± 0.04.</w:t>
      </w:r>
    </w:p>
    <w:p>
      <w:pPr>
        <w:pStyle w:val="Corpsdetexte"/>
      </w:pPr>
      <w:r>
        <w:br w:type="page"/>
      </w:r>
    </w:p>
    <w:bookmarkEnd w:id="86"/>
    <w:bookmarkEnd w:id="87"/>
    <w:bookmarkStart w:id="88" w:name="Xbf0d53dc12cea4ebeaf345348a1370e6595a36a"/>
    <w:p>
      <w:pPr>
        <w:pStyle w:val="Titre1"/>
      </w:pPr>
      <w:r>
        <w:t xml:space="preserve">Appendix A - Nebraska Licensed Angler Survey (Paper Version)</w:t>
      </w:r>
    </w:p>
    <w:p>
      <w:pPr>
        <w:pStyle w:val="FirstParagraph"/>
      </w:pPr>
      <w:r>
        <w:br w:type="page"/>
      </w:r>
    </w:p>
    <w:bookmarkEnd w:id="88"/>
    <w:bookmarkStart w:id="103" w:name="appendix-b---statistical-methodology"/>
    <w:p>
      <w:pPr>
        <w:pStyle w:val="Titre1"/>
      </w:pPr>
      <w:r>
        <w:t xml:space="preserve">Appendix B - Statistical Methodology</w:t>
      </w:r>
    </w:p>
    <w:bookmarkStart w:id="89"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41 respondents in the analysis sample prefer a species that falls outside every family group – bullhead, drum, sturgeon, common carp, invasive carp, paddlefish, and the literal</w:t>
      </w:r>
      <w:r>
        <w:t xml:space="preserve"> </w:t>
      </w:r>
      <w:r>
        <w:t xml:space="preserve">“Other”</w:t>
      </w:r>
      <w:r>
        <w:t xml:space="preserve"> </w:t>
      </w:r>
      <w:r>
        <w:t xml:space="preserve">response.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89"/>
    <w:bookmarkStart w:id="90"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90"/>
    <w:bookmarkStart w:id="91"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of the population-scaling difference noted above: 2025</w:t>
      </w:r>
      <w:r>
        <w:t xml:space="preserve"> </w:t>
      </w:r>
      <w:r>
        <w:t xml:space="preserve">weights sum to roughly 234,000 with a mean weight around 83. Using the</w:t>
      </w:r>
      <w:r>
        <w:t xml:space="preserve"> </w:t>
      </w:r>
      <w:r>
        <w:t xml:space="preserve">raw sum of weights as the CI denominator would make intervals roughly 9x too</w:t>
      </w:r>
      <w:r>
        <w:t xml:space="preserve"> </w:t>
      </w:r>
      <w:r>
        <w:t xml:space="preserve">tight. The Kish effective sample size</w:t>
      </w:r>
      <w:r>
        <w:t xml:space="preserve"> </w:t>
      </w:r>
      <w:r>
        <w:t xml:space="preserve">corrects for this by accounting for the variance introduced by unequal</w:t>
      </w:r>
      <w:r>
        <w:t xml:space="preserve"> </w:t>
      </w:r>
      <w:r>
        <w:t xml:space="preserve">weighting (the</w:t>
      </w:r>
      <w:r>
        <w:t xml:space="preserve"> </w:t>
      </w:r>
      <w:r>
        <w:t xml:space="preserve">“design effect”</w:t>
      </w:r>
      <w:r>
        <w:t xml:space="preserve">).</w:t>
      </w:r>
    </w:p>
    <w:bookmarkEnd w:id="91"/>
    <w:bookmarkStart w:id="92"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92"/>
    <w:bookmarkStart w:id="93"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93"/>
    <w:bookmarkStart w:id="94"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94"/>
    <w:bookmarkStart w:id="95"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95"/>
    <w:bookmarkStart w:id="96"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96"/>
    <w:bookmarkStart w:id="97" w:name="X49bfc2c5614b6fd3a37d8a9960cc79b17adbcde"/>
    <w:p>
      <w:pPr>
        <w:pStyle w:val="Titre2"/>
      </w:pPr>
      <w:r>
        <w:t xml:space="preserve">The preferred groups, and why columns do not sum</w:t>
      </w:r>
    </w:p>
    <w:p>
      <w:pPr>
        <w:pStyle w:val="FirstParagraph"/>
      </w:pPr>
      <w:r>
        <w:t xml:space="preserve">The preferred groups are not a partition. Bass, Panfish / Sunfish, and Catfish each appear both as a combined family column and as one column per constituent species, so a respondent who prefers largemouth bass is counted in both the Bass column and the Largemouth bass column. The Esocids family was replaced outright by separate northern pike and muskellunge columns and has no combined column.</w:t>
      </w:r>
    </w:p>
    <w:p>
      <w:pPr>
        <w:pStyle w:val="Corpsdetexte"/>
      </w:pPr>
      <w:r>
        <w:t xml:space="preserve">Two consequences follow. Preferred-group column counts sum to 2,695 against 1,874 distinct respondents, so they must never be totalled. And because each column is computed on its own respondents and uses its own denominator, the percentages within any single column remain correct; only addition across columns is invalid.</w:t>
      </w:r>
    </w:p>
    <w:bookmarkEnd w:id="97"/>
    <w:bookmarkStart w:id="98"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rather than a variance correction. With</w:t>
      </w:r>
      <w:r>
        <w:t xml:space="preserve"> </w:t>
      </w:r>
      <w:r>
        <w:t xml:space="preserve">independent sampling units, the linearized standard errors that</w:t>
      </w:r>
      <w:r>
        <w:t xml:space="preserve"> </w:t>
      </w:r>
      <w:r>
        <w:rPr>
          <w:b/>
          <w:bCs/>
        </w:rPr>
        <w:t xml:space="preserve">survey</w:t>
      </w:r>
      <w:r>
        <w:t xml:space="preserve"> </w:t>
      </w:r>
      <w:r>
        <w:t xml:space="preserve">computes are scale-invariant in the weights: the raw weights and the rescaled</w:t>
      </w:r>
      <w:r>
        <w:t xml:space="preserve"> </w:t>
      </w:r>
      <w:r>
        <w:t xml:space="preserve">weights give identical standard errors and identical degrees of freedom. The</w:t>
      </w:r>
      <w:r>
        <w:t xml:space="preserve"> </w:t>
      </w:r>
      <w:r>
        <w:t xml:space="preserve">“roughly 9x too tight”</w:t>
      </w:r>
      <w:r>
        <w:t xml:space="preserve"> </w:t>
      </w:r>
      <w:r>
        <w:t xml:space="preserve">problem described under percentage confidence intervals</w:t>
      </w:r>
      <w:r>
        <w:t xml:space="preserve"> </w:t>
      </w:r>
      <w:r>
        <w:t xml:space="preserve">above belongs specifically to the manual sum-of-weights calculation that the</w:t>
      </w:r>
      <w:r>
        <w:t xml:space="preserve"> </w:t>
      </w:r>
      <w:r>
        <w:t xml:space="preserve">Kish effective sample size corrects, and it does</w:t>
      </w:r>
      <w:r>
        <w:t xml:space="preserve"> </w:t>
      </w:r>
      <w:r>
        <w:rPr>
          <w:b/>
          <w:bCs/>
        </w:rPr>
        <w:t xml:space="preserve">not</w:t>
      </w:r>
      <w:r>
        <w:t xml:space="preserve"> </w:t>
      </w:r>
      <w:r>
        <w:t xml:space="preserve">carry over to the</w:t>
      </w:r>
      <w:r>
        <w:t xml:space="preserve"> </w:t>
      </w:r>
      <w:r>
        <w:t xml:space="preserve">design objects used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98"/>
    <w:bookmarkStart w:id="99" w:name="multiplicity"/>
    <w:p>
      <w:pPr>
        <w:pStyle w:val="Titre2"/>
      </w:pPr>
      <w:r>
        <w:t xml:space="preserve">Multiplicity</w:t>
      </w:r>
    </w:p>
    <w:p>
      <w:pPr>
        <w:pStyle w:val="FirstParagraph"/>
      </w:pPr>
      <w:r>
        <w:t xml:space="preserve">Where a family contains three species there are three possible pairwise comparisons, and the unadjusted p-value for each is multiplied by three (Bonferroni). Where a family contains two species there is a single comparison and no adjustment is applied. Both the unadjusted and the Bonferroni-adjusted p-value are printed, rather than a single verdict against a fixed threshold.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rPr>
          <w:b/>
          <w:bCs/>
        </w:rPr>
        <w:t xml:space="preserve">The adjustment covers one dimension only.</w:t>
      </w:r>
      <w:r>
        <w:t xml:space="preserve"> </w:t>
      </w:r>
      <w:r>
        <w:t xml:space="preserve">It accounts for the number of</w:t>
      </w:r>
      <w:r>
        <w:t xml:space="preserve"> </w:t>
      </w:r>
      <w:r>
        <w:t xml:space="preserve">species comparisons made within a single outcome, not for the number of</w:t>
      </w:r>
      <w:r>
        <w:t xml:space="preserve"> </w:t>
      </w:r>
      <w:r>
        <w:t xml:space="preserve">outcomes examined. Each family is compared on eight scale scores plus days</w:t>
      </w:r>
      <w:r>
        <w:t xml:space="preserve"> </w:t>
      </w:r>
      <w:r>
        <w:t xml:space="preserve">fished, so a three-species family carries 27 comparisons in total with no</w:t>
      </w:r>
      <w:r>
        <w:t xml:space="preserve"> </w:t>
      </w:r>
      <w:r>
        <w:t xml:space="preserve">adjustment across the outcome dimension. Readers should treat a single</w:t>
      </w:r>
      <w:r>
        <w:t xml:space="preserve"> </w:t>
      </w:r>
      <w:r>
        <w:t xml:space="preserve">adjusted p-value near the conventional threshold accordingly.</w:t>
      </w:r>
    </w:p>
    <w:bookmarkEnd w:id="99"/>
    <w:bookmarkStart w:id="100"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00"/>
    <w:bookmarkStart w:id="101"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Seventeen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17 overlapping groups rather than across independent observations.</w:t>
      </w:r>
    </w:p>
    <w:p>
      <w:pPr>
        <w:pStyle w:val="Corpsdetexte"/>
      </w:pPr>
      <w:r>
        <w:t xml:space="preserve">The reliability coefficient quoted in Chapter 4 is a weighted raw alpha for the four D4 satisfaction items. It is reported for reference only; no composite score is constructed anywhere in this report, which is item-level throughout.</w:t>
      </w:r>
    </w:p>
    <w:bookmarkEnd w:id="101"/>
    <w:bookmarkStart w:id="102"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309.31 sec elapsed</w:t>
      </w:r>
    </w:p>
    <w:bookmarkEnd w:id="102"/>
    <w:bookmarkEnd w:id="103"/>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fadcfeec8fef039c078a3f53e4351992b3bf1a19.png"/>
<Relationship Id="rId20" Type="http://schemas.openxmlformats.org/officeDocument/2006/relationships/image" Target="media/33ec0abe63a2681ad7b4e369cda8fc4c8723be8b.png"/>
<Relationship Id="rId21" Type="http://schemas.openxmlformats.org/officeDocument/2006/relationships/image" Target="media/0831e03c90a97724b0bcf54678bb109a4014ee41.png"/>
<Relationship Id="rId22" Type="http://schemas.openxmlformats.org/officeDocument/2006/relationships/image" Target="media/c67883b10c2bac90e23a5e45f24897801738083b.png"/>
<Relationship Id="rId23" Type="http://schemas.openxmlformats.org/officeDocument/2006/relationships/image" Target="media/88cc9e0418cbd80c0763a5f547ec9e1b9c914647.png"/>
<Relationship Id="rId24" Type="http://schemas.openxmlformats.org/officeDocument/2006/relationships/image" Target="media/42c9de3fd899d4aad2a4a86bd007807987c2e034.png"/>
<Relationship Id="rId25" Type="http://schemas.openxmlformats.org/officeDocument/2006/relationships/image" Target="media/b60de758c39d08b60c44b67732a636fdeaaf2436.png"/>
<Relationship Id="rId26" Type="http://schemas.openxmlformats.org/officeDocument/2006/relationships/image" Target="media/6e29c7752ff75d3f161e37daddcbd9dd4d358201.png"/>
<Relationship Id="rId27" Type="http://schemas.openxmlformats.org/officeDocument/2006/relationships/image" Target="media/a9a86f402a16e0f594ff5429031227cab9cd7177.png"/>
<Relationship Id="rId28" Type="http://schemas.openxmlformats.org/officeDocument/2006/relationships/image" Target="media/8852d6ab86f6bcbd7a48c98aaef420ff445e2196.png"/>
<Relationship Id="rId29" Type="http://schemas.openxmlformats.org/officeDocument/2006/relationships/image" Target="media/878081cd3d944ebcc19dbf26667b60f2ece52d87.png"/>
<Relationship Id="rId30" Type="http://schemas.openxmlformats.org/officeDocument/2006/relationships/image" Target="media/997741b7471aa61792337a7341b797daf51b6381.png"/>
<Relationship Id="rId31" Type="http://schemas.openxmlformats.org/officeDocument/2006/relationships/image" Target="media/f842a23a70456c4d58fa5066cd20cda836e7d8e7.png"/>
<Relationship Id="rId32" Type="http://schemas.openxmlformats.org/officeDocument/2006/relationships/image" Target="media/95d3b401b50fdbbb96fe285f62407692b9d881d9.png"/>
<Relationship Id="rId33" Type="http://schemas.openxmlformats.org/officeDocument/2006/relationships/image" Target="media/688250e67ff11ad0f3c025b82a2a52a743ae34dc.png"/>
<Relationship Id="rId34" Type="http://schemas.openxmlformats.org/officeDocument/2006/relationships/image" Target="media/44d05fd333e5db5331807d8b56919d1f7a71da7f.png"/>
<Relationship Id="rId35" Type="http://schemas.openxmlformats.org/officeDocument/2006/relationships/image" Target="media/a3cd870103ed59fa0635aea132f68b7586272063.png"/>
<Relationship Id="rId36" Type="http://schemas.openxmlformats.org/officeDocument/2006/relationships/image" Target="media/81a0df14d834862657bc1d4c198022d1cd5ef009.png"/>
<Relationship Id="rId37" Type="http://schemas.openxmlformats.org/officeDocument/2006/relationships/image" Target="media/7fbf4781f62ec8b2d0dde5bbb3ab5dd48e5a7bc6.png"/>
<Relationship Id="rId38" Type="http://schemas.openxmlformats.org/officeDocument/2006/relationships/image" Target="media/33c131fb71079355c9e232f589aae97b5528daf1.png"/>
<Relationship Id="rId39" Type="http://schemas.openxmlformats.org/officeDocument/2006/relationships/image" Target="media/3a0de67e2f45b53e371e784a58cba9088f6ca720.png"/>
<Relationship Id="rId40" Type="http://schemas.openxmlformats.org/officeDocument/2006/relationships/image" Target="media/9665483f8ec27ba217ae9f151ad6c6b818d5b162.png"/>
<Relationship Id="rId41" Type="http://schemas.openxmlformats.org/officeDocument/2006/relationships/image" Target="media/3abcfde3e7eb43c374458c9e4d272b9162fb8f2b.png"/>
<Relationship Id="rId42" Type="http://schemas.openxmlformats.org/officeDocument/2006/relationships/image" Target="media/dd675d436528d88a85b90b51c2bdec2828b30fed.png"/>
<Relationship Id="rId43" Type="http://schemas.openxmlformats.org/officeDocument/2006/relationships/image" Target="media/f7b5d43b8ec32f6c93441129d706e20309b8a738.png"/>
<Relationship Id="rId44" Type="http://schemas.openxmlformats.org/officeDocument/2006/relationships/image" Target="media/ff239e761b9732c60baf0a464581252ad0e35c7e.png"/>
<Relationship Id="rId45" Type="http://schemas.openxmlformats.org/officeDocument/2006/relationships/image" Target="media/85b1c32a0a03868d5af480c860b86fc7e06e32c7.png"/>
<Relationship Id="rId46" Type="http://schemas.openxmlformats.org/officeDocument/2006/relationships/image" Target="media/763cd0b1a769c1690e28c1dbb87eb33ea138b306.png"/>
<Relationship Id="rId47" Type="http://schemas.openxmlformats.org/officeDocument/2006/relationships/image" Target="media/a35c4e030a06127ac28e626b7f8615131aa01297.png"/>
<Relationship Id="rId48" Type="http://schemas.openxmlformats.org/officeDocument/2006/relationships/image" Target="media/8c91c15eb7bc7a5a70f6477b1834015b240e8eb3.png"/>
<Relationship Id="rId49" Type="http://schemas.openxmlformats.org/officeDocument/2006/relationships/image" Target="media/9bdc179280131321d2d784cffac5bf71d446930a.png"/>
<Relationship Id="rId50" Type="http://schemas.openxmlformats.org/officeDocument/2006/relationships/image" Target="media/f1147d7036d2dff685554ee65fe4ff3c0ee839b3.png"/>
<Relationship Id="rId51" Type="http://schemas.openxmlformats.org/officeDocument/2006/relationships/image" Target="media/284fb7ba213d98a1b8b68302cc0557eab670c1d3.png"/>
<Relationship Id="rId52" Type="http://schemas.openxmlformats.org/officeDocument/2006/relationships/image" Target="media/ad29bd76c4b9420f9ec14f9212ce938a1e81321b.png"/>
<Relationship Id="rId53" Type="http://schemas.openxmlformats.org/officeDocument/2006/relationships/image" Target="media/2edca17252685c788627936dfd5d0cc791d81091.png"/>
<Relationship Id="rId54" Type="http://schemas.openxmlformats.org/officeDocument/2006/relationships/image" Target="media/06773c8a2c678006343588ca19ea6e66cf7e681d.png"/>
<Relationship Id="rId55" Type="http://schemas.openxmlformats.org/officeDocument/2006/relationships/image" Target="media/cf7c914dec40e37146fdc8375550a1957d4fb2d2.png"/>
<Relationship Id="rId56" Type="http://schemas.openxmlformats.org/officeDocument/2006/relationships/image" Target="media/bb270b5c3e840f37e23e7a1661d431c1aecf53a2.png"/>
<Relationship Id="rId57" Type="http://schemas.openxmlformats.org/officeDocument/2006/relationships/image" Target="media/91ed03afc8909baa5c6fc31c771dcd2760ccbca7.png"/>
<Relationship Id="rId58" Type="http://schemas.openxmlformats.org/officeDocument/2006/relationships/image" Target="media/08f0d2f8fff6afde4f1b49e3083aa0fd4f0f0e0d.png"/>
<Relationship Id="rId59" Type="http://schemas.openxmlformats.org/officeDocument/2006/relationships/image" Target="media/38caaa5d7020aaa73e3b600c7abf952f41d7c943.png"/>
<Relationship Id="rId60" Type="http://schemas.openxmlformats.org/officeDocument/2006/relationships/image" Target="media/f2df676319fb8416f7040cd45444e24ee00a2ef1.png"/>
<Relationship Id="rId61" Type="http://schemas.openxmlformats.org/officeDocument/2006/relationships/image" Target="media/424780dd0be7a99c850535181a3246df947ea97c.png"/>
<Relationship Id="rId62" Type="http://schemas.openxmlformats.org/officeDocument/2006/relationships/image" Target="media/a72b7ef1e56f1741cb2ec37c535fde56cfb3ddb5.png"/>
<Relationship Id="rId63" Type="http://schemas.openxmlformats.org/officeDocument/2006/relationships/image" Target="media/ee2041f1bdb1e81c521f2bee84cdcdc87379346b.png"/>
<Relationship Id="rId64" Type="http://schemas.openxmlformats.org/officeDocument/2006/relationships/image" Target="media/38bad2e58a5b72ff6595ac79fdccb7748607b129.png"/>
<Relationship Id="rId65" Type="http://schemas.openxmlformats.org/officeDocument/2006/relationships/image" Target="media/063ff4573c3a23db3ec2e5afa34d75d70fa9d4cd.png"/>
<Relationship Id="rId66" Type="http://schemas.openxmlformats.org/officeDocument/2006/relationships/image" Target="media/8d90b7a1275646a500fc7373533f471e864cc44d.png"/>
<Relationship Id="rId67" Type="http://schemas.openxmlformats.org/officeDocument/2006/relationships/image" Target="media/4cf70255d6469458590a46445fac9795ab8f581a.png"/>
<Relationship Id="rId68" Type="http://schemas.openxmlformats.org/officeDocument/2006/relationships/image" Target="media/0c44f5f21b5487bd998e1a3e1418d89ba618d5f0.png"/>
<Relationship Id="rId69" Type="http://schemas.openxmlformats.org/officeDocument/2006/relationships/image" Target="media/169fc842cbbec904a5d4cdbef3ea5d8ed19407e4.png"/>
<Relationship Id="rId70" Type="http://schemas.openxmlformats.org/officeDocument/2006/relationships/image" Target="media/a0afa56040adc76ecfed5472503a29cc19fbb911.png"/>
<Relationship Id="rId71" Type="http://schemas.openxmlformats.org/officeDocument/2006/relationships/image" Target="media/cbbec0b34fa9153ee814b09c5c1c86c2f724f75c.png"/>
<Relationship Id="rId72" Type="http://schemas.openxmlformats.org/officeDocument/2006/relationships/image" Target="media/dd6438a111392ba108bacefdfcb4286397a7d488.png"/>
<Relationship Id="rId73" Type="http://schemas.openxmlformats.org/officeDocument/2006/relationships/image" Target="media/7d4a410a0827eb0f09f458217bf28d79897b3fb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2026-09-19T03:33:01Z</dcterms:created>
  <dcterms:modified xsi:type="dcterms:W3CDTF">2026-09-18T22:35:11Z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