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4"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1"/>
    <w:bookmarkStart w:id="82"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2"/>
    <w:bookmarkStart w:id="83"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3"/>
    <w:bookmarkEnd w:id="84"/>
    <w:bookmarkStart w:id="97"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5"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5"/>
    <w:bookmarkStart w:id="86"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86"/>
    <w:bookmarkStart w:id="87"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5" name=""/>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7" name=""/>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87"/>
    <w:bookmarkStart w:id="88"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(4 rows): Yellow perch (12 respondents, effective N 11.1); Blue catfish (27 respondents, effective N 22.6); Northern pike (32 respondents, effective N 26.9); Muskellunge / Tiger musky (8 respondents, effective N 7.3).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bookmarkEnd w:id="88"/>
    <w:bookmarkStart w:id="89"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89"/>
    <w:bookmarkStart w:id="96"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1" name=""/>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76"/>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3" name=""/>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77"/>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5" name=""/>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7" name=""/>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9" name=""/>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61" name=""/>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table above,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because questions that vary by species may partly reflect that mix rather than the profile itself.</w:t>
      </w:r>
    </w:p>
    <w:bookmarkStart w:id="90"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82"/>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0"/>
    <w:bookmarkStart w:id="91"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83"/>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1"/>
    <w:bookmarkStart w:id="92"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2"/>
    <w:bookmarkStart w:id="93" w:name="class-4-the-all-in-enthusiast"/>
    <w:p>
      <w:pPr>
        <w:pStyle w:val="Titre3"/>
      </w:pPr>
      <w:r>
        <w:t xml:space="preserve">Class 4: The all-in enthusiast</w:t>
      </w:r>
    </w:p>
    <w:p>
      <w:pPr>
        <w:jc w:val="center"/>
        <w:pStyle w:val="Figure"/>
      </w:pPr>
      <w:r>
        <w:rPr/>
        <w:drawing>
          <wp:inline distT="0" distB="0" distL="0" distR="0">
            <wp:extent cx="5943600" cy="324612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35.2% ± 11.5 of Moronides and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 Its species mix leans toward Moronides (10.5% of the profile, against 5.2% of all assigned respondents), so differences on questions that vary by species may partly reflect that mix rather than the profile itself.</w:t>
      </w:r>
    </w:p>
    <w:bookmarkEnd w:id="93"/>
    <w:bookmarkStart w:id="94" w:name="class-5-the-low-involvement-angler"/>
    <w:p>
      <w:pPr>
        <w:pStyle w:val="Titre3"/>
      </w:pPr>
      <w:r>
        <w:t xml:space="preserve">Class 5: The low-involvement angler</w:t>
      </w:r>
    </w:p>
    <w:p>
      <w:pPr>
        <w:jc w:val="center"/>
        <w:pStyle w:val="Figure"/>
      </w:pPr>
      <w:r>
        <w:rPr/>
        <w:drawing>
          <wp:inline distT="0" distB="0" distL="0" distR="0">
            <wp:extent cx="5943600" cy="324612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94"/>
    <w:bookmarkStart w:id="95"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and none of the 85 Moronides respondents;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pStyle w:val="Corpsdetexte"/>
      </w:pPr>
      <w:r>
        <w:br w:type="page"/>
      </w:r>
    </w:p>
    <w:bookmarkEnd w:id="95"/>
    <w:bookmarkEnd w:id="96"/>
    <w:bookmarkEnd w:id="97"/>
    <w:bookmarkStart w:id="98" w:name="Xbf0d53dc12cea4ebeaf345348a1370e6595a36a"/>
    <w:p>
      <w:pPr>
        <w:pStyle w:val="Titre1"/>
      </w:pPr>
      <w:r>
        <w:t xml:space="preserve">Appendix A - Nebraska Licensed Angler Survey (Paper Version)</w:t>
      </w:r>
    </w:p>
    <w:p>
      <w:pPr>
        <w:pStyle w:val="FirstParagraph"/>
      </w:pPr>
      <w:r>
        <w:br w:type="page"/>
      </w:r>
    </w:p>
    <w:bookmarkEnd w:id="98"/>
    <w:bookmarkStart w:id="123" w:name="appendix-b---statistical-methodology"/>
    <w:p>
      <w:pPr>
        <w:pStyle w:val="Titre1"/>
      </w:pPr>
      <w:r>
        <w:t xml:space="preserve">Appendix B - Statistical Methodology</w:t>
      </w:r>
    </w:p>
    <w:bookmarkStart w:id="99"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99"/>
    <w:bookmarkStart w:id="100"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0"/>
    <w:bookmarkStart w:id="101"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101"/>
    <w:bookmarkStart w:id="102"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02"/>
    <w:bookmarkStart w:id="103"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03"/>
    <w:bookmarkStart w:id="104"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04"/>
    <w:bookmarkStart w:id="105"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05"/>
    <w:bookmarkStart w:id="106"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06"/>
    <w:bookmarkStart w:id="107"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107"/>
    <w:bookmarkStart w:id="108"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08"/>
    <w:bookmarkStart w:id="109"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109"/>
    <w:bookmarkStart w:id="110"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0"/>
    <w:bookmarkStart w:id="11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p>
      <w:pPr>
        <w:pStyle w:val="Corpsdetexte"/>
      </w:pPr>
      <w:r>
        <w:t xml:space="preserve">The reliability coefficient quoted in Chapter 4 is a weighted raw alpha for the four D4 satisfaction items. It is reported for reference only; no composite score is constructed anywhere in this report, which is item-level throughout.</w:t>
      </w:r>
    </w:p>
    <w:bookmarkEnd w:id="111"/>
    <w:bookmarkStart w:id="121" w:name="angler-type-profiles-in-chapter-5"/>
    <w:p>
      <w:pPr>
        <w:pStyle w:val="Titre2"/>
      </w:pPr>
      <w:r>
        <w:t xml:space="preserve">Angler type profiles in Chapter 5</w:t>
      </w:r>
    </w:p>
    <w:bookmarkStart w:id="112"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12"/>
    <w:bookmarkStart w:id="113"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13"/>
    <w:bookmarkStart w:id="114"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14"/>
    <w:bookmarkStart w:id="115"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15"/>
    <w:bookmarkStart w:id="116"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16"/>
    <w:bookmarkStart w:id="117"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17"/>
    <w:bookmarkStart w:id="118"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Four rows fall below the floor and are not shown in the Chapter 5 tables: Yellow perch (12 respondents, effective N 11.1); Blue catfish (27 respondents, effective N 22.6); Northern pike (32 respondents, effective N 26.9); Muskellunge / Tiger musky (8 respondents, effective N 7.3). The floor applies to reporting only; these respondents are included in the model fit and in the Overall row. Yellow perch and Blue catfish respondents are also contained in the Panfish / Sunfish and Catfish family rows, respectively. Northern pike and Muskellunge / Tiger musky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18"/>
    <w:bookmarkStart w:id="119"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No adjustment for species mix is made.</w:t>
      </w:r>
    </w:p>
    <w:bookmarkEnd w:id="119"/>
    <w:bookmarkStart w:id="120"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0"/>
    <w:bookmarkEnd w:id="121"/>
    <w:bookmarkStart w:id="12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109.1 sec elapsed</w:t>
      </w:r>
    </w:p>
    <w:bookmarkEnd w:id="122"/>
    <w:bookmarkEnd w:id="12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 Id="rId74" Type="http://schemas.openxmlformats.org/officeDocument/2006/relationships/image" Target="media/a8ac538d90c073de6b5e52fc86f9679904723285.png"/>
<Relationship Id="rId75" Type="http://schemas.openxmlformats.org/officeDocument/2006/relationships/image" Target="media/c442f86cd6056d90b42c768af7c19f921664d55c.png"/>
<Relationship Id="rId76" Type="http://schemas.openxmlformats.org/officeDocument/2006/relationships/image" Target="media/d059c99ab406abb6d51d6f605a695e3fbe28fce6.png"/>
<Relationship Id="rId77" Type="http://schemas.openxmlformats.org/officeDocument/2006/relationships/image" Target="media/bafff05221ae4b7021fdcd9873784473bfa02aab.png"/>
<Relationship Id="rId78" Type="http://schemas.openxmlformats.org/officeDocument/2006/relationships/image" Target="media/b7dedbf783e5d576ab1a1fbd357daa1382985dde.png"/>
<Relationship Id="rId79" Type="http://schemas.openxmlformats.org/officeDocument/2006/relationships/image" Target="media/9b488cd847e1adeb2a5bc4ea8eaa2a5ceb2f4744.png"/>
<Relationship Id="rId80" Type="http://schemas.openxmlformats.org/officeDocument/2006/relationships/image" Target="media/c1d2e8c79c4398f7886332492ae44aba6729471a.png"/>
<Relationship Id="rId81" Type="http://schemas.openxmlformats.org/officeDocument/2006/relationships/image" Target="media/53ce032ab6bb6d67b23dfb6e21aa2a4a807e63ca.png"/>
<Relationship Id="rId82" Type="http://schemas.openxmlformats.org/officeDocument/2006/relationships/image" Target="media/3d781516f03d858307e3410a579619fdace691b1.jpg"/>
<Relationship Id="rId83" Type="http://schemas.openxmlformats.org/officeDocument/2006/relationships/image" Target="media/29f305057d8a873b8cd1dd007dd5da79241061c3.jpg"/>
<Relationship Id="rId84" Type="http://schemas.openxmlformats.org/officeDocument/2006/relationships/image" Target="media/1b24224d7b9b4ff388acdf166be807d8ee35591f.jpg"/>
<Relationship Id="rId85" Type="http://schemas.openxmlformats.org/officeDocument/2006/relationships/image" Target="media/51f36dbdedc7bbd581de046157ea1c5164fb90f4.jpg"/>
<Relationship Id="rId86" Type="http://schemas.openxmlformats.org/officeDocument/2006/relationships/image" Target="media/d40dc9e673a699db8a62dcec4d55f1c91227612e.jpg"/>
<Relationship Id="rId87" Type="http://schemas.openxmlformats.org/officeDocument/2006/relationships/image" Target="media/3b66d27f0898ec138b6794be1f1c07ab0d41a05b.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2026-09-24T21:58:29Z</dcterms:created>
  <dcterms:modified xsi:type="dcterms:W3CDTF">2026-09-24T16:59:21Z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