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Corpsdetexte"/>
      </w:pPr>
      <w:r>
        <w:br w:type="page"/>
      </w:r>
    </w:p>
    <w:p>
      <w:pPr/>
      <w:r xmlns:w14="http://schemas.microsoft.com/office/word/2010/wordml">
        <w:rPr/>
        <w:fldChar w:fldCharType="begin" w:dirty="true"/>
      </w:r>
      <w:r xmlns:w14="http://schemas.microsoft.com/office/word/2010/wordml">
        <w:rPr/>
        <w:instrText xml:space="preserve" w:dirty="true">TOC \o "1-3" \h \z \u</w:instrText>
      </w:r>
      <w:r xmlns:w14="http://schemas.microsoft.com/office/word/2010/wordml">
        <w:rPr/>
        <w:fldChar w:fldCharType="end" w:dirty="true"/>
      </w:r>
    </w:p>
    <w:p>
      <w:pPr>
        <w:pStyle w:val="Corpsdetexte"/>
      </w:pPr>
      <w:r>
        <w:br w:type="page"/>
      </w:r>
    </w:p>
    <w:bookmarkStart w:id="31" w:name="chapter-1-determining-species-groupings"/>
    <w:p>
      <w:pPr>
        <w:pStyle w:val="Titre1"/>
      </w:pPr>
      <w:r>
        <w:t xml:space="preserve">Chapter 1: Determining Species Groupings</w:t>
      </w:r>
    </w:p>
    <w:p>
      <w:pPr>
        <w:pStyle w:val="FirstParagraph"/>
      </w:pPr>
      <w:r>
        <w:t xml:space="preserve">This report covers only anglers who answered the preferred-species question. Of the 2,822 anglers who responded to the 2025 survey, 907 left that question blank, leaving an analysis sample of 1,915.</w:t>
      </w:r>
    </w:p>
    <w:p>
      <w:pPr>
        <w:pStyle w:val="Corpsdetexte"/>
      </w:pPr>
      <w:r>
        <w:t xml:space="preserve">Because of that restriction, the Overall column of this report describes anglers who stated a species preference rather than all licensed anglers, and it will therefore not match the Overall column of the 2025 Crosstabs report. The preferred-species distribution in the next table is the one quantity unaffected by the restriction, and it does match the Crosstabs report exactly.</w:t>
      </w:r>
    </w:p>
    <w:bookmarkStart w:id="19" w:name="question-text"/>
    <w:p>
      <w:pPr>
        <w:pStyle w:val="Titre2"/>
      </w:pPr>
      <w:r>
        <w:t xml:space="preserve">Question Text</w:t>
      </w:r>
    </w:p>
    <w:p>
      <w:pPr>
        <w:pStyle w:val="FirstParagraph"/>
      </w:pPr>
      <w:r>
        <w:rPr>
          <w:i/>
          <w:iCs/>
        </w:rPr>
        <w:t xml:space="preserve">Which type of fish do you prefer to fish for in Nebraska?</w:t>
      </w:r>
    </w:p>
    <w:bookmarkEnd w:id="19"/>
    <w:bookmarkStart w:id="20" w:name="X70e8346996d368c6d97b8dbce7b42f81d776b0a"/>
    <w:p>
      <w:pPr>
        <w:pStyle w:val="Titre2"/>
      </w:pPr>
      <w:r>
        <w:t xml:space="preserve">Sample Sizes and Population Estimates by Species</w:t>
      </w:r>
    </w:p>
    <w:p>
      <w:pPr>
        <w:pStyle w:val="FirstParagraph"/>
      </w:pPr>
      <w:r>
        <w:t xml:space="preserve">Respondents is the raw unweighted count. Effective n is the Kish effective sample size, (sum w)^2 / sum(w^2), which is the quantity that governs confidence interval width. Weighted respondents rescales the survey weights to sum to the analysis sample.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Weighted 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of angler population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Total anglers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55,606 ± 5,000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do not prefer any particular type of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41,905 ± 4,504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42,371 ± 4,523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19,455 ± 3,243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16,355 ± 2,995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10,821 ± 2,467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6,409 ± 1,917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4,607 ± 1,632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6,030 ± 1,861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5,073 ± 1,711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5,949 ± 1,849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4,675 ± 1,644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3,955 ± 1,514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1,246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 ±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1,126 ± 813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1,632 ± 977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1,404 ± 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 ±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524 ± 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 ±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699 ± 641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937 ± 742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r>
    </w:tbl>
    <w:p>
      <w:pPr>
        <w:pStyle w:val="Corpsdetexte"/>
      </w:pPr>
      <w:r>
        <w:t xml:space="preserve">Total anglers applies each species percentage to the full weighted 2025 angler population of 234,125, so the column sums to that population. This assumes that leaving the preferred-species question blank is unrelated to which species an angler prefers. The weights carried by the 1,915 respondents in the analysis sample themselves total 171,760.</w:t>
      </w:r>
    </w:p>
    <w:bookmarkEnd w:id="20"/>
    <w:bookmarkStart w:id="21" w:name="selection-rules"/>
    <w:p>
      <w:pPr>
        <w:pStyle w:val="Titre2"/>
      </w:pPr>
      <w:r>
        <w:t xml:space="preserve">Selection Rules</w:t>
      </w:r>
    </w:p>
    <w:p>
      <w:pPr>
        <w:pStyle w:val="FirstParagraph"/>
      </w:pPr>
      <w:r>
        <w:t xml:space="preserve">The list of preferred groups used in the rest of this report is produced by the rules below, applied in this order. (1) Five candidate families are proposed in the next section; a species that is not in a candidate family is never combined. (2) Every pair of species inside a candidate family is compared on nine outcomes (four motivation scales, four attitude scales, and days fished), and the p-values are Bonferroni-adjusted across all of the tests in that family. A family may be combined only if none of its adjusted p-values is below 0.05. (3) Walleye / Sauger, Trout and No preference are single-member groups; they are not tested. (4) A group or species needs at least 30 raw respondents to receive a column. All species in a candidate family are tested before the size rule is applied, and a species that meets the size rule receives its own column whether or not its family is combined.</w:t>
      </w:r>
    </w:p>
    <w:p>
      <w:pPr>
        <w:pStyle w:val="Corpsdetexte"/>
      </w:pPr>
      <w:r>
        <w:t xml:space="preserve">Overlapping confidence intervals are weak evidence that two species are similar, and the comparisons for the smaller species are underpowered. A dagger on the n column of a contrast table marks a comparison in which one species has fewer than 30 respondents.</w:t>
      </w:r>
    </w:p>
    <w:bookmarkEnd w:id="21"/>
    <w:bookmarkStart w:id="22" w:name="proposed-family-groupings"/>
    <w:p>
      <w:pPr>
        <w:pStyle w:val="Titre2"/>
      </w:pPr>
      <w:r>
        <w:t xml:space="preserve">Proposed Family Groupings</w:t>
      </w:r>
    </w:p>
    <w:p>
      <w:pPr>
        <w:pStyle w:val="FirstParagraph"/>
      </w:pPr>
      <w:r>
        <w:t xml:space="preserve">Candidate families and their member species. Species that are in no candidate family are not listed. Respondents is the raw unweighted count.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Proposed family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r>
    </w:tbl>
    <w:bookmarkEnd w:id="22"/>
    <w:bookmarkStart w:id="28" w:name="comparisons-within-proposed-families"/>
    <w:p>
      <w:pPr>
        <w:pStyle w:val="Titre2"/>
      </w:pPr>
      <w:r>
        <w:t xml:space="preserve">Comparisons Within Proposed Families</w:t>
      </w:r>
    </w:p>
    <w:p>
      <w:pPr>
        <w:pStyle w:val="FirstParagraph"/>
      </w:pPr>
      <w:r>
        <w:t xml:space="preserve">Each candidate family with more than one species is shown broken out by species alongside the family as a whole. These are the comparisons used to decide whether a family may be combined.</w:t>
      </w:r>
    </w:p>
    <w:bookmarkStart w:id="23" w:name="bass"/>
    <w:p>
      <w:pPr>
        <w:pStyle w:val="Titre3"/>
      </w:pPr>
      <w:r>
        <w:t xml:space="preserve">Bass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3.393 ± 0.098 (288)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3.753 ± 0.096 (291)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3.643 ± 0.101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2.477 ± 0.076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3.326 ± 0.284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0.307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3.418 ± 0.275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2.513 ± 0.255 (36)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0.092 (325)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3.749 ± 0.092 (328)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3.615 ± 0.096 (323)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2.481 ± 0.073 (324)</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2.729 ± 0.116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3.024 ± 0.097 (279)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3.496 ± 0.099 (285)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1.700 ± 0.086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0.264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3.275 ± 0.220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3.521 ± 0.257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1.612 ± 0.216 (35)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2.721 ± 0.107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3.055 ± 0.090 (315)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3.499 ± 0.093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1.689 ± 0.080 (314)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 (-0.373, 0.238)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-0.038 (-0.368, 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-0.225 (-0.523,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(-0.245, 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-0.063 (-0.352, 0.226)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0.251 (0.006, 0.496)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0.025 (-0.248, 0.299)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-0.089 (-0.313, 0.136)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39</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(-10.7, 26.3)</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0.407</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bookmarkEnd w:id="23"/>
    <w:bookmarkStart w:id="24" w:name="panfish-sunfish"/>
    <w:p>
      <w:pPr>
        <w:pStyle w:val="Titre3"/>
      </w:pPr>
      <w:r>
        <w:t xml:space="preserve">Panfish / Sunfish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3.281 ± 0.136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3.690 ± 0.134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3.561 ± 0.145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2.510 ± 0.098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3.424 ± 0.348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3.811 ± 0.319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3.612 ± 0.310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2.409 ± 0.314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3.093 ± 0.519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3.175 ± 0.727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3.602 ± 0.525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2.495 ± 0.301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3.296 ± 0.125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3.685 ± 0.127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0.128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2.491 ± 0.095 (207)</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2.934 ± 0.143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3.125 ± 0.129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3.123 ± 0.139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2.346 ± 0.155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2.693 ± 0.294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2.830 ± 0.290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2.759 ± 0.254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2.106 ± 0.343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3.308 ± 0.717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3.352 ± 0.584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2.471 ± 0.514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2.626 ± 0.730 (10)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2.909 ± 0.129 (209)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3.086 ± 0.117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3.035 ± 0.123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2.317 ± 0.140 (205)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19.50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4.5/8.1/30.5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0.143 (-0.244, 0.530)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-0.188 (-0.733, 0.357)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-0.331 (-0.990, 0.327)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0.120 (-0.232, 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-0.515 (-1.270, 0.239)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-0.636 (-1.467, 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0.051 (-0.330, 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0.042 (-0.523, 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-0.009 (-0.675, 0.656)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-0.101 (-0.475, 0.273)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 (-0.317, 0.286)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0.086 (-0.385, 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-0.241 (-0.563, 0.082)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0.374 (-0.406, 1.155)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0.615 (-0.228, 1.458)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-0.295 (-0.598, 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0.226 (-0.359, 0.811)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0.522 (-0.130, 1.173)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-0.363 (-0.654,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-0.652 (-1.242, -0.061)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-0.288 (-0.929, 0.352)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-0.240 (-0.623, 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0.280 (-0.518, 1.077)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0.519 (-0.362, 1.401)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(-20.7,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(-26.7,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(-19.5, 20.1)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bookmarkEnd w:id="24"/>
    <w:bookmarkStart w:id="25" w:name="catfish"/>
    <w:p>
      <w:pPr>
        <w:pStyle w:val="Titre3"/>
      </w:pPr>
      <w:r>
        <w:t xml:space="preserve">Catfish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3.307 ± 0.140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3.665 ± 0.153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3.565 ± 0.154 (130)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2.637 ± 0.133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3.517 ± 0.325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3.826 ± 0.265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3.677 ± 0.388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2.885 ± 0.325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3.486 ± 0.245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3.768 ± 0.285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0.272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2.673 ± 0.185 (48)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0.116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0.124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3.584 ± 0.129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2.684 ± 0.105 (200)</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2.712 ± 0.162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3.152 ± 0.159 (129)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3.245 ± 0.156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2.440 ± 0.165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2.882 ± 0.380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3.549 ± 0.385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3.558 ± 0.442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2.056 ± 0.373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2.580 ± 0.293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3.070 ± 0.287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3.613 ± 0.292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2.128 ± 0.297 (46)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2.703 ± 0.135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3.191 ± 0.135 (196)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0.137 (200)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2.299 ± 0.139 (194)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44.5 ± 16.67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18.5/25.8/59.0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 (-0.145, 0.564)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 (-0.101, 0.459)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-0.030 (-0.444, 0.383)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0.161 (-0.145, 0.468)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0.103 (-0.228, 0.435)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 (-0.459, 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0.112 (-0.320, 0.545)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0.007 (-0.300, 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-0.105 (-0.591, 0.381)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0.248 (-0.114, 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(-0.185, 0.256)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-0.212 (-0.595, 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0.170 (-0.257, 0.597)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-0.132 (-0.464, 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-0.302 (-0.801, 0.197)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0.398 (-0.037, 0.832)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-0.082 (-0.401, 0.237)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-0.480 (-0.976, 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 (-0.161, 0.786)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0.368 (0.037, 0.698)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0.055 (-0.479, 0.589)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 (-0.795, 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-0.312 (-0.651, 0.027)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 (-0.415, 0.559)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(-8.5, 29.4)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(-14.6, 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50†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(-33.5, 9.1)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bookmarkEnd w:id="25"/>
    <w:bookmarkStart w:id="26" w:name="moronides"/>
    <w:p>
      <w:pPr>
        <w:pStyle w:val="Titre3"/>
      </w:pPr>
      <w:r>
        <w:t xml:space="preserve">Moronides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3.429 ± 0.477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3.885 ± 0.461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3.667 ± 0.692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2.471 ± 0.322 (7)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3.543 ± 0.263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4.101 ± 0.258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3.944 ± 0.330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3.033 ± 0.252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3.320 ± 0.390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3.668 ± 0.280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3.557 ± 0.323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2.493 ± 0.197 (37)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Moronides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3.443 ± 0.216 (78)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3.910 ± 0.186 (78)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3.766 ± 0.226 (77)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2.772 ± 0.168 (79)</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2.762 ± 0.882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3.345 ± 0.566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3.480 ± 0.744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1.827 ± 0.882 (8)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2.661 ± 0.302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3.342 ± 0.227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4.018 ± 0.295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1.961 ± 0.292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2.669 ± 0.276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3.139 ± 0.232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3.226 ± 0.229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2.831 ± 0.217 (33)</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Moronides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2.673 ± 0.206 (73)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3.260 ± 0.160 (73)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3.649 ± 0.212 (73)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2.293 ± 0.223 (71)</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9.40 (11)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18.0/19.7/37.0 (11)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13.42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7.0/10.1/27.0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8.70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9.0/13.2/17.0 (39)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Moronides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7.23 (85)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10.0/14.0/18.0 (85)</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0.113 (-0.316, 0.543)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-0.109 (-0.662, 0.444)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-0.222 (-0.712, 0.267)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0.216 (-0.223, 0.654)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-0.217 (-0.670, 0.236)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-0.433 (-0.809, -0.056)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0.278 (-0.418, 0.973)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-0.109 (-0.820, 0.602)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-0.387 (-0.897, 0.123)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 /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0.561 (0.180, 0.943)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0.022 (-0.302, 0.346)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-0.539 (-0.836, -0.243)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-0.101 (-1.000, 0.797)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-0.093 (-0.978, 0.793)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0.008 (-0.371, 0.388)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-0.003 (-0.656, 0.649)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-0.207 (-0.861, 0.448)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-0.203 (-0.496, 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0.538 (-0.377, 1.453)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-0.254 (-1.142, 0.633)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-0.793 (-1.179, -0.406)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0.134 (-0.672, 0.940)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1.003 (0.225, 1.781)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0.869 (0.546, 1.192)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 (-14.6, 14.4)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0.993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(-18.2,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(-20.6, 8.4)</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bookmarkEnd w:id="26"/>
    <w:bookmarkStart w:id="27" w:name="esocids"/>
    <w:p>
      <w:pPr>
        <w:pStyle w:val="Titre3"/>
      </w:pPr>
      <w:r>
        <w:t xml:space="preserve">Esocids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3.441 ± 0.226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3.770 ± 0.320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3.674 ± 0.310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2.617 ± 0.214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4.240 ± 0.345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4.124 ± 0.578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3.944 ± 0.546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3.200 ± 0.226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3.635 ± 0.225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3.855 ± 0.285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3.744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2.753 ± 0.193 (39)</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3.145 ± 0.339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3.186 ± 0.282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3.766 ± 0.295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 ± 0.373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3.405 ± 0.612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3.483 ± 0.251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4.712 ± 0.259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1.645 ± 0.425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3.208 ± 0.299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3.257 ± 0.228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3.995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1.830 ± 0.302 (35)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63.8 ± 50.49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3.0/22.7/138.0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14.65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5.0/13.4/26.0 (38)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 (0.361, 1.237)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0.354 (-0.347, 1.056)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0.269 (-0.404, 0.943)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0.583 (0.256, 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0.260 (-0.444, 0.964)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0.297 (-0.072, 0.665)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0.945 (0.533,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-0.253 (-0.838, 0.331)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(-11.5, 100.1)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0.116</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bookmarkEnd w:id="27"/>
    <w:bookmarkEnd w:id="28"/>
    <w:bookmarkStart w:id="29" w:name="group-selection-results"/>
    <w:p>
      <w:pPr>
        <w:pStyle w:val="Titre2"/>
      </w:pPr>
      <w:r>
        <w:t xml:space="preserve">Group Selection Results</w:t>
      </w:r>
    </w:p>
    <w:p>
      <w:pPr>
        <w:pStyle w:val="FirstParagraph"/>
      </w:pPr>
      <w:r>
        <w:t xml:space="preserve">Test results and size rule for every candidate group. Tests is the number of species pairs times nine outcomes. Differences counts the tests with a family p below 0.05. Family column is Yes only when the group may be combined and has at least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 tested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Tests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Differences (family p &lt; 0.05)</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Smallest family 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May combine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 &gt;= 30</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column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(no test)</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(no 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(no test)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bl>
    <w:p>
      <w:pPr>
        <w:pStyle w:val="Corpsdetexte"/>
      </w:pPr>
      <w:r>
        <w:t xml:space="preserve">Size rule for each species in a candidate family. A species column is independent of whether its family is combined.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Proposed family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 &gt;= 30</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 column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bl>
    <w:bookmarkEnd w:id="29"/>
    <w:bookmarkStart w:id="30" w:name="final-preferred-groups"/>
    <w:p>
      <w:pPr>
        <w:pStyle w:val="Titre2"/>
      </w:pPr>
      <w:r>
        <w:t xml:space="preserve">Final Preferred Groups</w:t>
      </w:r>
    </w:p>
    <w:p>
      <w:pPr>
        <w:pStyle w:val="FirstParagraph"/>
      </w:pPr>
      <w:r>
        <w:t xml:space="preserve">There are 15 preferred groups: 6 family groups, 6 species reported alongside the family group that contains them, and 3 species whose family was not combined. Every table in the chapters that follow uses these columns. Respondents outside every column keep their place in the Overall column of every table.</w:t>
      </w:r>
    </w:p>
    <w:p>
      <w:pPr>
        <w:pStyle w:val="Corpsdetexte"/>
      </w:pPr>
      <w:r>
        <w:t xml:space="preserve">Family columns contain the species columns listed beneath them, so a respondent who prefers largemouth bass is counted in both the Bass column and the Largemouth bass column. Preferred-group columns therefore overlap and do not sum to the analysis sample. Percentages are of the analysis sample.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Level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of angler population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Total anglers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55,606 ± 5,000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48,401 ± 4,758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42,371 ± 4,523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6,030 ± 1,861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25,188 ± 3,641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19,455 ± 3,243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4,607 ± 1,632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26,719 ± 3,736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16,355 ± 2,995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6,409 ± 1,917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not combined)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5,949 ± 1,849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not combined)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5,073 ± 1,711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1.05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10,821 ± 2,467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not combined)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4,675 ± 1,644</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1.92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41,905 ± 4,504</w:t>
            </w:r>
          </w:p>
        </w:tc>
      </w:tr>
    </w:tbl>
    <w:p>
      <w:pPr>
        <w:pStyle w:val="Corpsdetexte"/>
      </w:pPr>
      <w:r>
        <w:t xml:space="preserve">Preferred species outside every preferred group. These 60 respondents remain in the Overall column of every table but receive no preferred-group column.</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Outside every preferred 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Total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r>
    </w:tbl>
    <w:p>
      <w:pPr>
        <w:pStyle w:val="Corpsdetexte"/>
      </w:pPr>
      <w:r>
        <w:t xml:space="preserve">The preferred groups cover 1,855 distinct respondents of the 1,915 in the analysis sample; 60 do not appear in any preferred-group column. Because family columns contain their own species columns, the respondent counts in the table above add to more than 1,855 and should not be totalled.</w:t>
      </w:r>
    </w:p>
    <w:p>
      <w:pPr>
        <w:pStyle w:val="Corpsdetexte"/>
      </w:pPr>
      <w:r>
        <w:br w:type="page"/>
      </w:r>
    </w:p>
    <w:bookmarkEnd w:id="30"/>
    <w:bookmarkEnd w:id="31"/>
    <w:bookmarkStart w:id="45" w:name="chapter-2-species-linked-scale-questions"/>
    <w:p>
      <w:pPr>
        <w:pStyle w:val="Titre1"/>
      </w:pPr>
      <w:r>
        <w:t xml:space="preserve">Chapter 2: Species-Linked Scale Questions</w:t>
      </w:r>
    </w:p>
    <w:p>
      <w:pPr>
        <w:pStyle w:val="FirstParagraph"/>
      </w:pPr>
      <w:r>
        <w:rPr>
          <w:i/>
          <w:iCs/>
        </w:rPr>
        <w:t xml:space="preserve">Thinking about the one type of fish that you prefer to fish for, how much do you agree or disagree with the following about your fishing in Nebraska during 2025?.</w:t>
      </w:r>
    </w:p>
    <w:p>
      <w:pPr>
        <w:pStyle w:val="Corpsdetexte"/>
      </w:pPr>
      <w:r>
        <w:t xml:space="preserve">Each item is reported in its own table. Rows are the preferred groups from Chapter 1, with individual species indented beneath the family group that contains them; family rows include the respondents in their species rows, so rows overlap and must not be totalled. Of the analysis sample of 1,915 anglers, 1,567 answered at least one item in this battery.</w:t>
      </w:r>
    </w:p>
    <w:p>
      <w:pPr>
        <w:pStyle w:val="Corpsdetexte"/>
      </w:pPr>
      <w:r>
        <w:t xml:space="preserve">This battery diverges from the 2025 Crosstabs report by more than the rest of the report does. The preferred-species question was not a strict gate on the battery in the delivered data: across all 2,822 respondents to the 2025 survey, 2,149 answered at least one item in this battery, of whom 582 left the preferred-species question blank. Those respondents are outside this report’s universe, so the Overall row here rests on fewer respondents than the corresponding Crosstabs report table.</w:t>
      </w:r>
    </w:p>
    <w:p>
      <w:pPr>
        <w:pStyle w:val="Corpsdetexte"/>
      </w:pPr>
      <w:r>
        <w:t xml:space="preserve">The battery was routed to anglers who named a preferred species, so respondents in the No preference row were not asked these items; the few who answered anyway are reported as they stand rather than dropped.</w:t>
      </w:r>
    </w:p>
    <w:bookmarkStart w:id="32" w:name="X9a6f0a4b8539448fcacc46bedaa881a2db6ab65"/>
    <w:p>
      <w:pPr>
        <w:pStyle w:val="Titre2"/>
      </w:pPr>
      <w:r>
        <w:t xml:space="preserve">I am happy with my success fishing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11.94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15.90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9.60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8.12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5.76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12.96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9.61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51.5 ± 18.30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8.58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14.81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17.37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16.20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13.94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18.65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14.73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1"/>
                    <a:stretch>
                      <a:fillRect/>
                    </a:stretch>
                  </pic:blipFill>
                  <pic:spPr bwMode="auto">
                    <a:xfrm>
                      <a:off x="0" y="0"/>
                      <a:ext cx="5943600" cy="3657600"/>
                    </a:xfrm>
                    <a:prstGeom prst="rect">
                      <a:avLst/>
                    </a:prstGeom>
                    <a:noFill/>
                  </pic:spPr>
                </pic:pic>
              </a:graphicData>
            </a:graphic>
          </wp:inline>
        </w:drawing>
      </w:r>
    </w:p>
    <w:p>
      <w:pPr>
        <w:pStyle w:val="Corpsdetexte"/>
      </w:pPr>
      <w:r>
        <w:t xml:space="preserve">For this item, White bass, Trout, and Channel catfish anglers report the highest satisfaction, averaging 3.7, 3.6, and 3.6 on the five-point scale, with 62%, 58%, and 57% agreeing or strongly agreeing and no more than 17% disagreeing. Walleye/Sauger anglers – the largest single preferred group in the survey – report the lowest satisfaction, averaging 2.8, and are the only group where more anglers disagree (40%) than agree (28%); Flathead catfish anglers, at 3.0, divide evenly (36% each way). The gap between Walleye/Sauger and the three highest groups is roughly three-quarters of a point or more, and may point to a difference in how reliably each species can be caught rather than a difference in how much anglers enjoy the pursuit itself. Within families the widest contrast is among catfish, where Channel catfish anglers (3.6) are considerably more satisfied than Flathead catfish anglers (3.0); the two bass species and the two panfish species each fall within about a tenth of a point of each other.</w:t>
      </w:r>
    </w:p>
    <w:p>
      <w:pPr>
        <w:pStyle w:val="Corpsdetexte"/>
      </w:pPr>
      <w:r>
        <w:t xml:space="preserve">No group’s change between 2018 and 2025 was large enough to appear in the figure above. Within 2025, one further pattern stands out: anglers with no single preferred species report above-average satisfaction (3.4, against 3.2 overall) and the largest neutral share of any group (45%), and neutral responses are common across the board – roughly three in ten anglers in most groups take neither side – so the group differences described above rest on the balance between agreement and disagreement rather than on lopsided views within any group.</w:t>
      </w:r>
    </w:p>
    <w:bookmarkEnd w:id="32"/>
    <w:bookmarkStart w:id="33" w:name="Xacf932f1cb14985e86d1a6ba41ec5afa167fb8a"/>
    <w:p>
      <w:pPr>
        <w:pStyle w:val="Titre2"/>
      </w:pPr>
      <w:r>
        <w:t xml:space="preserve">I would be satisfied to harvest smaller fish if I could harvest more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2.52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1.15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5.80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4.95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7.63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47.7 ± 18.22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5.69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18.65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11.77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12.96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17.00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17.46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10.10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11.30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19.07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17.95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9.56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57.9 ± 15.35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12.22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3.56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4"/>
                    <a:stretch>
                      <a:fillRect/>
                    </a:stretch>
                  </pic:blipFill>
                  <pic:spPr bwMode="auto">
                    <a:xfrm>
                      <a:off x="0" y="0"/>
                      <a:ext cx="5943600" cy="3657600"/>
                    </a:xfrm>
                    <a:prstGeom prst="rect">
                      <a:avLst/>
                    </a:prstGeom>
                    <a:noFill/>
                  </pic:spPr>
                </pic:pic>
              </a:graphicData>
            </a:graphic>
          </wp:inline>
        </w:drawing>
      </w:r>
    </w:p>
    <w:p>
      <w:pPr>
        <w:pStyle w:val="Corpsdetexte"/>
      </w:pPr>
      <w:r>
        <w:t xml:space="preserve">Willingness to harvest smaller fish in exchange for more of them is low overall, averaging 2.8, with 38% disagreeing and 24% agreeing. Smallmouth bass and White bass anglers report the highest agreement (3.05 each), and Smallmouth bass anglers are the only group where more agree (40%) than disagree (33%). Northern pike anglers report the lowest (2.4), with 59% disagreeing and only 8% agreeing; Wiper anglers (58% disagree, 31% agree) and Flathead catfish anglers (51% disagree, 27% agree) also disagree far more often than they agree. The bass family shows the widest within-family spread, with Smallmouth bass anglers (3.1) well above Largemouth bass anglers (2.7).</w:t>
      </w:r>
    </w:p>
    <w:p>
      <w:pPr>
        <w:pStyle w:val="Corpsdetexte"/>
      </w:pPr>
      <w:r>
        <w:t xml:space="preserve">No group’s change between 2018 and 2025 was large enough to appear in the figure above. Within 2025, what separates some groups is how many take no side: 58% of anglers with no single preferred species and 48% of Bluegill/Sunfish anglers are neutral, against 11% of Wiper anglers, so a middling average can reflect very different response patterns.</w:t>
      </w:r>
    </w:p>
    <w:bookmarkEnd w:id="33"/>
    <w:bookmarkStart w:id="34" w:name="X74dfe10768de8475d1c7620593ed0709d0fe366"/>
    <w:p>
      <w:pPr>
        <w:pStyle w:val="Titre2"/>
      </w:pPr>
      <w:r>
        <w:t xml:space="preserve">I support regulations on my preferred fish to increase their size.</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2.76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46.1 ±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4.60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6.60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15.10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16.80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8.28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43.5 ± 17.73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6.71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6.47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14.10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17.81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 ± 18.30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14.45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48.8 ± 18.21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 15.29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12.06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18.18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18.90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 ± 15.02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15.51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7"/>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regulations to increase the size of the preferred fish is high in every group, averaging 3.8 overall, with 66% agreeing and 12% disagreeing. Wiper anglers report the highest support (4.3; 87% agree, 5% disagree), followed by Northern pike anglers (4.05; 77% agree). Trout anglers report the lowest (3.6), alongside Walleye/Sauger and Flathead catfish anglers (3.6 each), though even in these groups more than half agree.</w:t>
      </w:r>
    </w:p>
    <w:p>
      <w:pPr>
        <w:pStyle w:val="Corpsdetexte"/>
      </w:pPr>
      <w:r>
        <w:t xml:space="preserve">No group’s change between 2018 and 2025 was large enough to appear in the figure above. What distinguishes the groups in 2025 is the firmness of the support: in every group, supporters outnumber opponents by at least three to one, and Wiper and Northern pike anglers are the least likely to take neither side (8% and 9% neutral), while 35% of anglers with no single preferred species and 31% of Channel catfish anglers do.</w:t>
      </w:r>
    </w:p>
    <w:bookmarkEnd w:id="34"/>
    <w:bookmarkStart w:id="35" w:name="X579a780ac7affba3d6083d533ea716293eaa95a"/>
    <w:p>
      <w:pPr>
        <w:pStyle w:val="Titre2"/>
      </w:pPr>
      <w:r>
        <w:t xml:space="preserve">I support regulations on my preferred fish to increase their numbers.</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 ±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2.47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52.5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5.87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53.3 ± 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33.7 ± 7.04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15.55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14.17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30.1 ± 17.40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14.90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18.21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16.28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 ± 11.91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19.33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16.99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8"/>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30"/>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regulations to increase the numbers of the preferred fish is high in every group, averaging 3.9 overall, with 73% agreeing and 7% disagreeing. The spread across groups is narrow: Wiper anglers report the highest support (4.1; 81% agree), while Crappie (3.7) and Panfish/Sunfish anglers (3.8) report the lowest, though 69% and 71% of them agree. Set against the previous item, most groups support numbers-focused regulation more strongly than size-focused regulation; Wiper and Northern pike anglers are the exceptions, backing size rules somewhat more strongly, and Crappie anglers rate the two about equally. That tilt toward numbers over size may indicate that, for most anglers, catching fish at all matters more than catching bigger ones.</w:t>
      </w:r>
    </w:p>
    <w:p>
      <w:pPr>
        <w:pStyle w:val="Corpsdetexte"/>
      </w:pPr>
      <w:r>
        <w:t xml:space="preserve">No group’s change between 2018 and 2025 was large enough to appear in the figure above. Within 2025, the share who disagree is 0% after rounding among both Smallmouth bass anglers and anglers with no single preferred species, against 12% of Northern pike and Flathead catfish anglers, so the differences in averages reflect differences in how strongly anglers agree more than any split between supporters and opponents.</w:t>
      </w:r>
    </w:p>
    <w:bookmarkEnd w:id="35"/>
    <w:bookmarkStart w:id="36" w:name="Xaded64f4c54598afdbd1cb3dee00cda397d3147"/>
    <w:p>
      <w:pPr>
        <w:pStyle w:val="Titre2"/>
      </w:pPr>
      <w:r>
        <w:t xml:space="preserve">If I could catch larger fish, I would be willing to harvest fewer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2.20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16.70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8.32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15.87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13.40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13.97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12.75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55.7 ± 18.09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13.77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11.18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17.06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17.66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9.11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15.52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15.04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11.90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31"/>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32"/>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33"/>
                    <a:stretch>
                      <a:fillRect/>
                    </a:stretch>
                  </pic:blipFill>
                  <pic:spPr bwMode="auto">
                    <a:xfrm>
                      <a:off x="0" y="0"/>
                      <a:ext cx="5943600" cy="3657600"/>
                    </a:xfrm>
                    <a:prstGeom prst="rect">
                      <a:avLst/>
                    </a:prstGeom>
                    <a:noFill/>
                  </pic:spPr>
                </pic:pic>
              </a:graphicData>
            </a:graphic>
          </wp:inline>
        </w:drawing>
      </w:r>
    </w:p>
    <w:p>
      <w:pPr>
        <w:pStyle w:val="Corpsdetexte"/>
      </w:pPr>
      <w:r>
        <w:t xml:space="preserve">Willingness to harvest fewer fish in exchange for larger fish averages 3.6 overall, with 52% agreeing and 14% disagreeing. Wiper anglers report the highest willingness (4.2; 82% agree, 3% disagree), followed by the bass groups (Smallmouth bass 3.9, Largemouth bass 3.8; 63% to 67% agree). Bluegill/Sunfish and White bass anglers report the lowest (3.2 each), though for both the difference is mostly neutral rather than opposed responses: 49% and 56% of them take neither side, and 37% and 29% agree.</w:t>
      </w:r>
    </w:p>
    <w:p>
      <w:pPr>
        <w:pStyle w:val="Corpsdetexte"/>
      </w:pPr>
      <w:r>
        <w:t xml:space="preserve">No group’s change between 2018 and 2025 was large enough to appear in the figure above. The 2025 pattern is internally consistent with the harvest-versus-size question two items later: the groups most willing to sacrifice numbers for size here – Wiper and both bass species – are the same ones that lean toward size over harvest opportunity there, while Walleye/Sauger anglers, among the least willing here, lean toward harvest opportunity. No group falls below neutral on average, so the differences are in degree of willingness, not direction.</w:t>
      </w:r>
    </w:p>
    <w:bookmarkEnd w:id="36"/>
    <w:bookmarkStart w:id="37" w:name="X9cc1e2c7302a65609478a8c3b394a69c60aa0e9"/>
    <w:p>
      <w:pPr>
        <w:pStyle w:val="Titre2"/>
      </w:pPr>
      <w:r>
        <w:t xml:space="preserve">It is becoming harder to catch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5.68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16.96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8.00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 ± 7.25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9.82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60.8 ± 18.80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12.89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16.82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 ± 15.96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 ± 17.20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8.59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10.21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 ± 19.08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12.57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15.65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9.96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3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35"/>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36"/>
                    <a:stretch>
                      <a:fillRect/>
                    </a:stretch>
                  </pic:blipFill>
                  <pic:spPr bwMode="auto">
                    <a:xfrm>
                      <a:off x="0" y="0"/>
                      <a:ext cx="5943600" cy="3657600"/>
                    </a:xfrm>
                    <a:prstGeom prst="rect">
                      <a:avLst/>
                    </a:prstGeom>
                    <a:noFill/>
                  </pic:spPr>
                </pic:pic>
              </a:graphicData>
            </a:graphic>
          </wp:inline>
        </w:drawing>
      </w:r>
    </w:p>
    <w:p>
      <w:pPr>
        <w:pStyle w:val="Corpsdetexte"/>
      </w:pPr>
      <w:r>
        <w:t xml:space="preserve">Agreement that the preferred fish is becoming harder to catch averages 3.3 overall, with 45% agreeing and 20% disagreeing. Walleye/Sauger anglers report the highest agreement (3.6; 56% agree), followed by Flathead catfish (3.5) and Northern pike anglers (3.5; 60% agree, the highest agree share of any group). Bluegill/Sunfish anglers report the lowest (2.6; 46% disagree, 16% agree) and are joined below the scale midpoint only by Channel catfish anglers (3.0). The within-family spreads are wide for panfish (Bluegill/Sunfish 2.6, Crappie 3.3) and catfish (Channel catfish 3.0, Flathead catfish 3.5).</w:t>
      </w:r>
    </w:p>
    <w:p>
      <w:pPr>
        <w:pStyle w:val="Corpsdetexte"/>
      </w:pPr>
      <w:r>
        <w:t xml:space="preserve">Agreement that the preferred fish has become harder to catch rose modestly across all anglers between 2018 and 2025, from 3.2 to 3.3 – one of only two items in this battery, along with the places-to-fish item at the end, where the change across all anglers is what stands out between years. No individual preferred group’s change was large enough to appear in the figure above, which suggests a broad, shallow drift toward agreement rather than a sharp movement concentrated in any one group.</w:t>
      </w:r>
    </w:p>
    <w:bookmarkEnd w:id="37"/>
    <w:bookmarkStart w:id="38" w:name="X4f98cbc4e0bd553903ac881c31df4d1743e91b2"/>
    <w:p>
      <w:pPr>
        <w:pStyle w:val="Titre2"/>
      </w:pPr>
      <w:r>
        <w:t xml:space="preserve">The opportunity to harvest my preferred fish is more important to me than the size of the fish I catch.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2.25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11.88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6.99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7.60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15.56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 ± 7.23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43.2 ± 9.06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 ± 14.83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8.70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18.80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7.15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16.18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17.62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16.74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11.67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11.41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15.08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16.43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7.20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13.08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49.8 ± 15.70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12.77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37"/>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38"/>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39"/>
                    <a:stretch>
                      <a:fillRect/>
                    </a:stretch>
                  </pic:blipFill>
                  <pic:spPr bwMode="auto">
                    <a:xfrm>
                      <a:off x="0" y="0"/>
                      <a:ext cx="5943600" cy="3657600"/>
                    </a:xfrm>
                    <a:prstGeom prst="rect">
                      <a:avLst/>
                    </a:prstGeom>
                    <a:noFill/>
                  </pic:spPr>
                </pic:pic>
              </a:graphicData>
            </a:graphic>
          </wp:inline>
        </w:drawing>
      </w:r>
    </w:p>
    <w:p>
      <w:pPr>
        <w:pStyle w:val="Corpsdetexte"/>
      </w:pPr>
      <w:r>
        <w:t xml:space="preserve">Views on whether harvest opportunity matters more than fish size are divided, averaging 3.0 overall, with 36% agreeing and 30% disagreeing. Trout (3.3) and Walleye/Sauger anglers (3.3) lean furthest toward harvest opportunity. Wiper anglers lean furthest toward size (2.3; 60% disagree, 25% agree), followed by Smallmouth bass anglers (2.4; 53% disagree, 13% agree) and the bass family as a whole (2.7; 41% disagree, 24% agree).</w:t>
      </w:r>
    </w:p>
    <w:p>
      <w:pPr>
        <w:pStyle w:val="Corpsdetexte"/>
      </w:pPr>
      <w:r>
        <w:t xml:space="preserve">No group’s change between 2018 and 2025 was large enough to appear in the figure above. Within 2025, half of the anglers with no single preferred species (50%) take neither side, the largest neutral share of any group, against 15% of Wiper anglers; the two groups’ averages sit at different ends of the range for different reasons, with a majority of Wiper anglers disagreeing (60%) and the no-preference group split between disagreeing (28%) and agreeing (22%).</w:t>
      </w:r>
    </w:p>
    <w:bookmarkEnd w:id="38"/>
    <w:bookmarkStart w:id="39" w:name="X7e2a3ad5b92049350559ca691c87f3615b41252"/>
    <w:p>
      <w:pPr>
        <w:pStyle w:val="Titre2"/>
      </w:pPr>
      <w:r>
        <w:t xml:space="preserve">I have to travel too far to fish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15.31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23.7 ± 14.65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7.68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17.60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7.39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55.0 ± 15.66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7.65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16.76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 ± 16.78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14.15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14.37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18.27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16.86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11.83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11.50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7.72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40"/>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41"/>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42"/>
                    <a:stretch>
                      <a:fillRect/>
                    </a:stretch>
                  </pic:blipFill>
                  <pic:spPr bwMode="auto">
                    <a:xfrm>
                      <a:off x="0" y="0"/>
                      <a:ext cx="5943600" cy="3657600"/>
                    </a:xfrm>
                    <a:prstGeom prst="rect">
                      <a:avLst/>
                    </a:prstGeom>
                    <a:noFill/>
                  </pic:spPr>
                </pic:pic>
              </a:graphicData>
            </a:graphic>
          </wp:inline>
        </w:drawing>
      </w:r>
    </w:p>
    <w:p>
      <w:pPr>
        <w:pStyle w:val="Corpsdetexte"/>
      </w:pPr>
      <w:r>
        <w:t xml:space="preserve">Agreement that the angler has to travel too far to fish for the preferred fish averages 2.8 overall, with 43% disagreeing and 25% agreeing. Wiper anglers report the highest agreement (3.4; 55% agree, 18% disagree), with the widest margin of agreement over disagreement of any group; Northern pike (3.1), White bass (3.1), and Trout anglers (3.1) follow. Bluegill/Sunfish anglers report the lowest (2.1; 75% disagree, 12% agree), followed by Flathead catfish (2.4), Channel catfish (2.4), and Largemouth bass anglers (2.5).</w:t>
      </w:r>
    </w:p>
    <w:p>
      <w:pPr>
        <w:pStyle w:val="Corpsdetexte"/>
      </w:pPr>
      <w:r>
        <w:t xml:space="preserve">No group’s change between 2018 and 2025 was large enough to appear in the figure above. The travel pattern partly lines up with the places-to-fish item at the end of this battery: Northern pike, Wiper, and Trout anglers sit at or near the top of both, while Bluegill/Sunfish and Channel catfish anglers sit at or near the bottom of both, suggesting that travel distance and the perceived shortage of places to fish may be two readings of the same underlying access picture for these species. Flathead catfish anglers are the exception, near the bottom on travel (2.4) but second from the top on places to fish (3.3).</w:t>
      </w:r>
    </w:p>
    <w:bookmarkEnd w:id="39"/>
    <w:bookmarkStart w:id="40" w:name="Xfe777786baa281cbbe88b62717de9e76b286c72"/>
    <w:p>
      <w:pPr>
        <w:pStyle w:val="Titre2"/>
      </w:pPr>
      <w:r>
        <w:t xml:space="preserve">I am satisfied with the size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1.22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1.95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14.62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64.8 ± 16.45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4.42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 ± 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7.33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 ± 15.21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 ± 13.02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51.2 ± 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8.73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18.09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 ± 15.95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18.91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8.99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15.85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14.93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43"/>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44"/>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45"/>
                    <a:stretch>
                      <a:fillRect/>
                    </a:stretch>
                  </pic:blipFill>
                  <pic:spPr bwMode="auto">
                    <a:xfrm>
                      <a:off x="0" y="0"/>
                      <a:ext cx="5943600" cy="3657600"/>
                    </a:xfrm>
                    <a:prstGeom prst="rect">
                      <a:avLst/>
                    </a:prstGeom>
                    <a:noFill/>
                  </pic:spPr>
                </pic:pic>
              </a:graphicData>
            </a:graphic>
          </wp:inline>
        </w:drawing>
      </w:r>
    </w:p>
    <w:p>
      <w:pPr>
        <w:pStyle w:val="Corpsdetexte"/>
      </w:pPr>
      <w:r>
        <w:t xml:space="preserve">Satisfaction with the size of the preferred fish caught averages 3.3 overall, with 46% agreeing and 21% disagreeing. Wiper anglers report the highest satisfaction (4.0; 80% agree, 7% disagree), followed by White bass anglers (3.6). Northern pike anglers report the lowest (3.0), the only group averaging below the scale midpoint, followed by Largemouth bass anglers (3.0).</w:t>
      </w:r>
    </w:p>
    <w:p>
      <w:pPr>
        <w:pStyle w:val="Corpsdetexte"/>
      </w:pPr>
      <w:r>
        <w:t xml:space="preserve">No group’s change between 2018 and 2025 was large enough to appear in the figure above. Within 2025, how the groups arrive at their averages differs as much as the averages themselves: Northern pike anglers split into opposing camps (43% agree, 37% disagree, only a fifth neutral), while half of the anglers with no single preferred species (50%), 44% of White bass anglers, and four in ten Trout anglers (41%) take no side at all.</w:t>
      </w:r>
    </w:p>
    <w:bookmarkEnd w:id="40"/>
    <w:bookmarkStart w:id="41" w:name="Xcd62c95fc918a95727f7529d8155e5246dd5378"/>
    <w:p>
      <w:pPr>
        <w:pStyle w:val="Titre2"/>
      </w:pPr>
      <w:r>
        <w:t xml:space="preserve">I am satisfied with the size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1.46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54.1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7.65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52.9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54.5 ± 8.34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7.41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6.43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45.7 ± 18.90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6.59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17.00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18.12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14.12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17.64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18.01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8.39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8.93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14.95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46"/>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47"/>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48"/>
                    <a:stretch>
                      <a:fillRect/>
                    </a:stretch>
                  </pic:blipFill>
                  <pic:spPr bwMode="auto">
                    <a:xfrm>
                      <a:off x="0" y="0"/>
                      <a:ext cx="5943600" cy="3657600"/>
                    </a:xfrm>
                    <a:prstGeom prst="rect">
                      <a:avLst/>
                    </a:prstGeom>
                    <a:noFill/>
                  </pic:spPr>
                </pic:pic>
              </a:graphicData>
            </a:graphic>
          </wp:inline>
        </w:drawing>
      </w:r>
    </w:p>
    <w:p>
      <w:pPr>
        <w:pStyle w:val="Corpsdetexte"/>
      </w:pPr>
      <w:r>
        <w:t xml:space="preserve">Satisfaction with the size of the preferred fish that may be harvested averages 3.5 overall, with 56% agreeing and 10% disagreeing. Bluegill/Sunfish anglers report the highest satisfaction (3.9; 69% agree, 3% disagree), followed by White bass anglers (3.8) and Smallmouth bass anglers (3.7). Northern pike anglers report the lowest (3.0; 38% agree, 40% disagree) and are the only group where disagreement is at least as common as agreement; anglers with no single preferred species (3.2) and Wiper anglers (3.3) follow.</w:t>
      </w:r>
    </w:p>
    <w:p>
      <w:pPr>
        <w:pStyle w:val="Corpsdetexte"/>
      </w:pPr>
      <w:r>
        <w:t xml:space="preserve">No group’s change between 2018 and 2025 was large enough to appear in the figure above. Compared with the previous item, nearly every group rates the size they are allowed to harvest at least as favorably as the size they actually catch; Wiper anglers are the one clear exception, rating the size they catch (4.0) above the size they are allowed to keep (3.3), while Northern pike anglers rate the two about equally (3.0 each), which may hint that where Wiper anglers have a complaint, it is with the rules rather than the fish.</w:t>
      </w:r>
    </w:p>
    <w:bookmarkEnd w:id="41"/>
    <w:bookmarkStart w:id="42" w:name="X37e550c5ad71d1671f7d4ae5e067af7b626d0c9"/>
    <w:p>
      <w:pPr>
        <w:pStyle w:val="Titre2"/>
      </w:pPr>
      <w:r>
        <w:t xml:space="preserve">I am satisfied with the number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1.35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4.71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5.30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5.82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 ± 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10.52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15.13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9.51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17.38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21.1 ± 6.84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10.33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52.3 ± 17.37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6.55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 ± 7.16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10.79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 ± 15.01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55.8 ± 18.84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5.75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14.68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16.24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17.28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50.2 ± 12.28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 ± 17.62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15.67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9.95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15.66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14.67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4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5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51"/>
                    <a:stretch>
                      <a:fillRect/>
                    </a:stretch>
                  </pic:blipFill>
                  <pic:spPr bwMode="auto">
                    <a:xfrm>
                      <a:off x="0" y="0"/>
                      <a:ext cx="5943600" cy="3657600"/>
                    </a:xfrm>
                    <a:prstGeom prst="rect">
                      <a:avLst/>
                    </a:prstGeom>
                    <a:noFill/>
                  </pic:spPr>
                </pic:pic>
              </a:graphicData>
            </a:graphic>
          </wp:inline>
        </w:drawing>
      </w:r>
    </w:p>
    <w:p>
      <w:pPr>
        <w:pStyle w:val="Corpsdetexte"/>
      </w:pPr>
      <w:r>
        <w:t xml:space="preserve">Satisfaction with the number of the preferred fish caught averages 3.2 overall, with 46% agreeing and 27% disagreeing. Bluegill/Sunfish anglers report the highest satisfaction (3.6; 70% agree, 20% disagree), followed by Channel catfish and Wiper anglers (3.4 each). Flathead catfish anglers report the lowest (2.8; 50% disagree, 38% agree), the only group averaging below the scale midpoint, followed by Walleye/Sauger anglers (3.0).</w:t>
      </w:r>
    </w:p>
    <w:p>
      <w:pPr>
        <w:pStyle w:val="Corpsdetexte"/>
      </w:pPr>
      <w:r>
        <w:t xml:space="preserve">No group’s change between 2018 and 2025 was large enough to appear in the figure above. The 2025 ranking partly mirrors the overall fishing-success item at the top of this battery – Channel catfish, White bass, and Trout anglers in the upper part of both, Walleye/Sauger and Flathead catfish anglers near the bottom of both – which may indicate that when anglers judge their overall success, the number of fish caught weighs at least as heavily as their size.</w:t>
      </w:r>
    </w:p>
    <w:bookmarkEnd w:id="42"/>
    <w:bookmarkStart w:id="43" w:name="X19716cc9d1daabe24c56981a07c53b474406f8c"/>
    <w:p>
      <w:pPr>
        <w:pStyle w:val="Titre2"/>
      </w:pPr>
      <w:r>
        <w:t xml:space="preserve">I am satisfied with the number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48.1 ± 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63.7 ± 16.90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55.4 ± 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59.7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7.43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4.07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18.91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 ± 16.45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9.30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16.62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45.4 ± 18.14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13.61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55.5 ± 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15.51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16.07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18.81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9.39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54.9 ± 15.62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15.07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5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5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54"/>
                    <a:stretch>
                      <a:fillRect/>
                    </a:stretch>
                  </pic:blipFill>
                  <pic:spPr bwMode="auto">
                    <a:xfrm>
                      <a:off x="0" y="0"/>
                      <a:ext cx="5943600" cy="3657600"/>
                    </a:xfrm>
                    <a:prstGeom prst="rect">
                      <a:avLst/>
                    </a:prstGeom>
                    <a:noFill/>
                  </pic:spPr>
                </pic:pic>
              </a:graphicData>
            </a:graphic>
          </wp:inline>
        </w:drawing>
      </w:r>
    </w:p>
    <w:p>
      <w:pPr>
        <w:pStyle w:val="Corpsdetexte"/>
      </w:pPr>
      <w:r>
        <w:t xml:space="preserve">Satisfaction with the number of the preferred fish that may be harvested averages 3.5 overall, with 56% agreeing and 10% disagreeing. Bluegill/Sunfish anglers report the highest satisfaction (3.9; 66% agree, 5% disagree), followed by Crappie, Smallmouth bass, and White bass anglers (3.7 each). Northern pike anglers report the lowest (3.15; 47% agree, 30% disagree), followed by Wiper anglers (3.2), 46% of whom take neither side.</w:t>
      </w:r>
    </w:p>
    <w:p>
      <w:pPr>
        <w:pStyle w:val="Corpsdetexte"/>
      </w:pPr>
      <w:r>
        <w:t xml:space="preserve">No group’s change between 2018 and 2025 was large enough to appear in the figure above. Compared with the number caught in the previous item, every group rates the number it is allowed to harvest at least as favorably except Wiper anglers (3.2 allowed, against 3.4 caught) and, marginally, Northern pike anglers (3.15 allowed, against 3.21 caught); Wiper anglers also rate the size they may keep below the size they catch, so their lower ratings for what may be kept appear on both size and number.</w:t>
      </w:r>
    </w:p>
    <w:bookmarkEnd w:id="43"/>
    <w:bookmarkStart w:id="44" w:name="Xf477e260e8b467a862c01f08ae3cbf4cb7a1510"/>
    <w:p>
      <w:pPr>
        <w:pStyle w:val="Titre2"/>
      </w:pPr>
      <w:r>
        <w:t xml:space="preserve">I do not have enough places to fish for my preferred fish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13.44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15.04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7.78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4.88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 ± 7.06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5.00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 ± 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8.58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13.76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12.11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18.76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17.48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16.98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11.21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42.7 ± 18.92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15.14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58.2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11.41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5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5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57"/>
                    <a:stretch>
                      <a:fillRect/>
                    </a:stretch>
                  </pic:blipFill>
                  <pic:spPr bwMode="auto">
                    <a:xfrm>
                      <a:off x="0" y="0"/>
                      <a:ext cx="5943600" cy="3657600"/>
                    </a:xfrm>
                    <a:prstGeom prst="rect">
                      <a:avLst/>
                    </a:prstGeom>
                    <a:noFill/>
                  </pic:spPr>
                </pic:pic>
              </a:graphicData>
            </a:graphic>
          </wp:inline>
        </w:drawing>
      </w:r>
    </w:p>
    <w:p>
      <w:pPr>
        <w:pStyle w:val="Corpsdetexte"/>
      </w:pPr>
      <w:r>
        <w:t xml:space="preserve">Agreement that there are not enough places to fish for the preferred fish averages 3.1 overall, with 36% agreeing and 34% disagreeing. Northern pike anglers report the highest agreement (3.5; 62% agree, 28% disagree), followed by Flathead catfish (3.3), Wiper (3.3), Trout, and Smallmouth bass anglers (3.3 each). Bluegill/Sunfish anglers report the lowest (2.6; 56% disagree, 24% agree), followed by Channel catfish anglers (2.6).</w:t>
      </w:r>
    </w:p>
    <w:p>
      <w:pPr>
        <w:pStyle w:val="Corpsdetexte"/>
      </w:pPr>
      <w:r>
        <w:t xml:space="preserve">Flathead catfish anglers’ agreement rose sharply between 2018 and 2025, from 2.5 to 3.3 – the only group whose change appears in any of the 2018-2025 figures for this battery. Agreement across all anglers also crept upward between the two years, from 2.9 to 3.1, another instance, like the difficulty-of-catching item earlier, where the shift shows up broadly rather than only within individual preferred groups.</w:t>
      </w:r>
    </w:p>
    <w:bookmarkEnd w:id="44"/>
    <w:bookmarkEnd w:id="45"/>
    <w:bookmarkStart w:id="83" w:name="chapter-3-crosstabs-by-preferred-species"/>
    <w:p>
      <w:pPr>
        <w:pStyle w:val="Titre1"/>
      </w:pPr>
      <w:r>
        <w:t xml:space="preserve">Chapter 3: Crosstabs by Preferred Species</w:t>
      </w:r>
    </w:p>
    <w:p>
      <w:pPr>
        <w:pStyle w:val="FirstParagraph"/>
      </w:pPr>
      <w:r>
        <w:t xml:space="preserve">This chapter crosstabs the remaining survey questions by preferred group. Questions appear in the order they are reported in the 2025 Crosstabs report, and each question keeps the universe and the derived variables that report uses; only the columns of the original crosstabs – residency, gender, and age – are replaced by the preferred groups. Rows are the preferred groups from Chapter 1, with individual species indented beneath the family group that contains them. Family rows include the respondents in their species rows, so rows overlap and must not be totalled.</w:t>
      </w:r>
    </w:p>
    <w:p>
      <w:pPr>
        <w:pStyle w:val="Corpsdetexte"/>
      </w:pPr>
      <w:r>
        <w:t xml:space="preserve">Two conventions for the sample size are used. Where every response column of a table shares one denominator, a single N column reports it. Where each column carries its own universe – a battery item with its own missingness, a scale score with its completeness gate, or an indicator computed on its own subset – the count appears inside each cell after the confidence interval. N is the raw unweighted respondent count in both cases.</w:t>
      </w:r>
    </w:p>
    <w:p>
      <w:pPr>
        <w:pStyle w:val="Corpsdetexte"/>
      </w:pPr>
      <w:r>
        <w:br w:type="page"/>
      </w:r>
    </w:p>
    <w:bookmarkStart w:id="46" w:name="fish-out-of-state"/>
    <w:p>
      <w:pPr>
        <w:pStyle w:val="Titre2"/>
      </w:pPr>
      <w:r>
        <w:t xml:space="preserve">Fish Out-Of-State</w:t>
      </w:r>
    </w:p>
    <w:p>
      <w:pPr>
        <w:pStyle w:val="FirstParagraph"/>
      </w:pPr>
      <w:r>
        <w:t xml:space="preserve">Did you fish in a state other than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55.9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58.7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56.4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63.9 ±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56.3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69.8 ± 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13.84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81.8 ± 13.84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71.4 ± 17.08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bl>
    <w:p>
      <w:pPr>
        <w:jc w:val="center"/>
        <w:pStyle w:val="Figure"/>
      </w:pPr>
      <w:r>
        <w:rPr/>
        <w:drawing>
          <wp:inline distT="0" distB="0" distL="0" distR="0">
            <wp:extent cx="5943600" cy="45720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5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6"/>
    <w:bookmarkStart w:id="47" w:name="boat-out-of-state"/>
    <w:p>
      <w:pPr>
        <w:pStyle w:val="Titre2"/>
      </w:pPr>
      <w:r>
        <w:t xml:space="preserve">Boat Out-Of-State</w:t>
      </w:r>
    </w:p>
    <w:p>
      <w:pPr>
        <w:pStyle w:val="FirstParagraph"/>
      </w:pPr>
      <w:r>
        <w:t xml:space="preserve">Did you take a boat or other personal watercraft with you when fishing in a state other than Nebraska during 2025? Cells are the weighted percentage of the row group giving that response, with a 95 percent confidence interval. N is the raw unweighted number of respondents in the row group who answered the question. Only respondents who fished out of state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55.2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70.3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52.6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48.2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51.8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59.1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12.65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12.65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15.93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54.2 ± 15.93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47.2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73.3 ± 20.64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20.64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21.18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92.1 ± 21.18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19.12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59.5 ± 19.12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22.58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22.58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w:t>
            </w:r>
          </w:p>
        </w:tc>
      </w:tr>
    </w:tbl>
    <w:p>
      <w:pPr>
        <w:jc w:val="center"/>
        <w:pStyle w:val="Figure"/>
      </w:pPr>
      <w:r>
        <w:rPr/>
        <w:drawing>
          <wp:inline distT="0" distB="0" distL="0" distR="0">
            <wp:extent cx="5943600" cy="45720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59"/>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7"/>
    <w:bookmarkStart w:id="48" w:name="park-entry-permit"/>
    <w:p>
      <w:pPr>
        <w:pStyle w:val="Titre2"/>
      </w:pPr>
      <w:r>
        <w:t xml:space="preserve">Park Entry Permit</w:t>
      </w:r>
    </w:p>
    <w:p>
      <w:pPr>
        <w:pStyle w:val="FirstParagraph"/>
      </w:pPr>
      <w:r>
        <w:t xml:space="preserve">Did you fish at a water body that required a Nebraska Park Entry Permit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81.7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63.4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77.7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66.1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65.3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87.9 ± 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16.48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69.8 ± 16.48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10.86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68.6 ± 10.86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18.08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60.8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bl>
    <w:p>
      <w:pPr>
        <w:pStyle w:val="Corpsdetexte"/>
      </w:pPr>
      <w:r>
        <w:br w:type="page"/>
      </w:r>
    </w:p>
    <w:bookmarkEnd w:id="48"/>
    <w:bookmarkStart w:id="49" w:name="fishing-tournaments"/>
    <w:p>
      <w:pPr>
        <w:pStyle w:val="Titre2"/>
      </w:pPr>
      <w:r>
        <w:t xml:space="preserve">Fishing Tournaments</w:t>
      </w:r>
    </w:p>
    <w:p>
      <w:pPr>
        <w:pStyle w:val="FirstParagraph"/>
      </w:pPr>
      <w:r>
        <w:t xml:space="preserve">Percent of respondents who participated in at least one fishing tournament (derived from How many fishing tournaments (either requiring an entry fee or awarding prizes/money) held in Nebraska did you participate in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Fished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96.1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97.6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85.9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97.2 ± 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95.4 ±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98.3 ± 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w:t>
            </w:r>
          </w:p>
        </w:tc>
      </w:tr>
    </w:tbl>
    <w:p>
      <w:pPr>
        <w:jc w:val="center"/>
        <w:pStyle w:val="Figure"/>
      </w:pPr>
      <w:r>
        <w:rPr/>
        <w:drawing>
          <wp:inline distT="0" distB="0" distL="0" distR="0">
            <wp:extent cx="5943600" cy="45720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60"/>
                    <a:stretch>
                      <a:fillRect/>
                    </a:stretch>
                  </pic:blipFill>
                  <pic:spPr bwMode="auto">
                    <a:xfrm>
                      <a:off x="0" y="0"/>
                      <a:ext cx="5943600" cy="4572000"/>
                    </a:xfrm>
                    <a:prstGeom prst="rect">
                      <a:avLst/>
                    </a:prstGeom>
                    <a:noFill/>
                  </pic:spPr>
                </pic:pic>
              </a:graphicData>
            </a:graphic>
          </wp:inline>
        </w:drawing>
      </w:r>
    </w:p>
    <w:p>
      <w:pPr>
        <w:pStyle w:val="Corpsdetexte"/>
      </w:pPr>
      <w:r>
        <w:t xml:space="preserve">How many fishing tournaments (either requiring an entry fee or awarding prizes/money) held in Nebraska did you participate in during 2025? Cells are the weighted mean for the row group with a 95 percent confidence interval, followed by the raw unweighted number of respondents contributing to that cell. Only respondents who participated in at least one tournament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tournaments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1.19 (49)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1.35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2.41 (11)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3.45 (6)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2.97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0.32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0.36 (4)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pStyle w:val="Corpsdetexte"/>
      </w:pPr>
      <w:r>
        <w:br w:type="page"/>
      </w:r>
    </w:p>
    <w:p>
      <w:pPr>
        <w:sectPr>
          <w:pgMar w:header="708" w:bottom="1417" w:top="1417" w:right="1417" w:left="1417" w:footer="708" w:gutter="0"/>
          <w:pgSz w:h="16838" w:w="11906" w:orient="portrait"/>
          <w:type w:val="nextPage"/>
          <w:cols/>
        </w:sectPr>
      </w:pPr>
    </w:p>
    <w:bookmarkEnd w:id="49"/>
    <w:bookmarkStart w:id="50" w:name="waterbody-types"/>
    <w:p>
      <w:pPr>
        <w:pStyle w:val="Titre2"/>
      </w:pPr>
      <w:r>
        <w:t xml:space="preserve">Waterbody Types</w:t>
      </w:r>
    </w:p>
    <w:p>
      <w:pPr>
        <w:pStyle w:val="FirstParagraph"/>
      </w:pPr>
      <w:r>
        <w:t xml:space="preserve">In what types of water bodies did you fish in Nebraska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Lakes and Reservoirs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Ponds and sandpits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streams, rivers, and canals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Missouri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Platte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Sandhill lakes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86.2 ± 1.76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1.50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2.94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88.3 ± 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65.5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90.0 ± 9.97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50.6 ± 16.62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9.67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87.5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87.9 ± 5.39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88.0 ± 10.84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51.0 ± 16.69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79.4 ± 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42.9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7.16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6.63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6.29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77.5 ± 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 ± 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76.1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 ± 13.68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16.45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15.90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16.13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 ± 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50.0 ± 11.75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11.43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87.0 ± 12.70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10.74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18.02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49.2 ± 6.08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4.85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3.39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pStyle w:val="Corpsdetexte"/>
      </w:pPr>
      <w:r>
        <w:br w:type="page"/>
      </w:r>
    </w:p>
    <w:bookmarkEnd w:id="50"/>
    <w:bookmarkStart w:id="51" w:name="methods"/>
    <w:p>
      <w:pPr>
        <w:pStyle w:val="Titre2"/>
      </w:pPr>
      <w:r>
        <w:t xml:space="preserve">Methods</w:t>
      </w:r>
    </w:p>
    <w:p>
      <w:pPr>
        <w:pStyle w:val="FirstParagraph"/>
      </w:pPr>
      <w:r>
        <w:t xml:space="preserve">Which methods of fishing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Bank/wading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Kayak/Canoe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Ice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Non-motorized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Float tube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51.1 ± 2.54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3.62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3.50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 ± 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15.74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9.40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86.6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50.8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3.00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84.8 ± 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13.64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90.5 ± 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7.32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5.14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4.72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6.19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86.8 ± 10.69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61.1 ± 18.01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16.78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72.6 ± 16.00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 ± 16.80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7.95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10.46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83.5 ± 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17.81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17.74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17.11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4.11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5.71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3.18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51"/>
    <w:bookmarkStart w:id="52" w:name="techniques"/>
    <w:p>
      <w:pPr>
        <w:pStyle w:val="Titre2"/>
      </w:pPr>
      <w:r>
        <w:t xml:space="preserve">Techniques</w:t>
      </w:r>
    </w:p>
    <w:p>
      <w:pPr>
        <w:pStyle w:val="FirstParagraph"/>
      </w:pPr>
      <w:r>
        <w:t xml:space="preserve">What techniques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Rod &amp; reel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Fly-fishing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Set lines/limb lines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Archery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Snagging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Surface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Underwater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97.8 ± 0.74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1.14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99.5 ± 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2.35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99.3 ±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96.3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12.10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98.8 ±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5.95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7.03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11.66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9.86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14.70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52"/>
    <w:bookmarkStart w:id="53" w:name="crowding"/>
    <w:p>
      <w:pPr>
        <w:pStyle w:val="Titre2"/>
      </w:pPr>
      <w:r>
        <w:t xml:space="preserve">Crowding</w:t>
      </w:r>
    </w:p>
    <w:p>
      <w:pPr>
        <w:pStyle w:val="FirstParagraph"/>
      </w:pPr>
      <w:r>
        <w:t xml:space="preserve">In 2025, how often were your fishing experiences negatively affected by the number of people at your fishing locations?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Rarely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Sometimes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Often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Always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2.29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1.21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13.42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11.78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6.63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6.72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12.78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15.40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15.27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17.12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15.98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16.74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25.3 ± 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50.9 ± 11.83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13.90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18.88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16.60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5.76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bl>
    <w:p>
      <w:pPr>
        <w:jc w:val="center"/>
        <w:pStyle w:val="Figure"/>
      </w:pPr>
      <w:r>
        <w:rPr/>
        <w:drawing>
          <wp:inline distT="0" distB="0" distL="0" distR="0">
            <wp:extent cx="5943600" cy="54864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61"/>
                    <a:stretch>
                      <a:fillRect/>
                    </a:stretch>
                  </pic:blipFill>
                  <pic:spPr bwMode="auto">
                    <a:xfrm>
                      <a:off x="0" y="0"/>
                      <a:ext cx="5943600" cy="5486400"/>
                    </a:xfrm>
                    <a:prstGeom prst="rect">
                      <a:avLst/>
                    </a:prstGeom>
                    <a:noFill/>
                  </pic:spPr>
                </pic:pic>
              </a:graphicData>
            </a:graphic>
          </wp:inline>
        </w:drawing>
      </w:r>
    </w:p>
    <w:p>
      <w:pPr>
        <w:sectPr>
          <w:pgMar w:header="708" w:bottom="1417" w:top="1417" w:right="1417" w:left="1417" w:footer="708" w:gutter="0"/>
          <w:pgSz w:h="16838" w:w="11906" w:orient="portrait"/>
          <w:type w:val="nextPage"/>
          <w:cols/>
        </w:sectPr>
      </w:pPr>
    </w:p>
    <w:bookmarkEnd w:id="53"/>
    <w:bookmarkStart w:id="54" w:name="access"/>
    <w:p>
      <w:pPr>
        <w:pStyle w:val="Titre2"/>
      </w:pPr>
      <w:r>
        <w:t xml:space="preserve">Access</w:t>
      </w:r>
    </w:p>
    <w:p>
      <w:pPr>
        <w:pStyle w:val="FirstParagraph"/>
      </w:pPr>
      <w:r>
        <w:t xml:space="preserve">During 2025, did you use the following areas when fishing or launching watercraft to fish?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 first two columns are computed on everyone who answered the question; the last three are computed on respondents who used at least one of the two area types, matching the 2025 Crosstabs report.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Both Public and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Private lands and access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89.3 ± 1.71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2.50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2.59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69.1 ± 2.68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1.04 (1,417)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94.7 ± 2.47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4.91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4.87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72.1 ± 5.03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1.82 (378)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92.1 ± 3.31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5.89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5.98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6.12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2.39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3.49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6.35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6.44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6.57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2.54 (251)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90.7 ± 10.00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15.61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15.77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16.49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7.13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84.6 ± 5.91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7.49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7.80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66.7 ± 8.19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3.91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7.02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8.73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9.10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64.5 ± 9.56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4.78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92.8 ± 9.77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14.13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14.38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14.97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5.08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6.12 (190)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 ± 7.50 (190)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8.15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8.43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3.96 (159)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7.62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9.30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10.50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61.8 ± 10.69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3.86 (100)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76.5 ± 13.79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15.28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14.91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62.9 ± 16.93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11.93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88.9 ± 11.84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14.02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14.97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15.38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4.36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82.3 ± 14.09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16.36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18.81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67.3 ± 18.81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7.47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 ± 12.02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11.72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67.7 ± 12.38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6.07 (69)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13.23 (28)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12.91 (28)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12.46 (25)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87.1 ± 14.29 (25)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7.80 (25)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4.53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5.51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5.97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74.6 ± 6.16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2.08 (235)</w:t>
            </w:r>
          </w:p>
        </w:tc>
      </w:tr>
    </w:tbl>
    <w:p>
      <w:pPr>
        <w:sectPr>
          <w:pgMar w:header="708" w:bottom="1417" w:top="1417" w:right="1417" w:left="1417" w:footer="708" w:gutter="0"/>
          <w:pgSz w:h="11906" w:w="16838" w:orient="landscape"/>
          <w:type w:val="nextPage"/>
          <w:cols/>
        </w:sectPr>
      </w:pPr>
    </w:p>
    <w:bookmarkEnd w:id="54"/>
    <w:bookmarkStart w:id="55" w:name="favorite-waterbody-distance"/>
    <w:p>
      <w:pPr>
        <w:pStyle w:val="Titre2"/>
      </w:pPr>
      <w:r>
        <w:t xml:space="preserve">Favorite Waterbody Distance</w:t>
      </w:r>
    </w:p>
    <w:p>
      <w:pPr>
        <w:pStyle w:val="FirstParagraph"/>
      </w:pPr>
      <w:r>
        <w:t xml:space="preserve">About how far is the one-way distance from your residence to your favorite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1.70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1.59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1.93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12.48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15.49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 ± 14.57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6.37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5.94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11.26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12.23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10.87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18.20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13.16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17.35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6.63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14.24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9.99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17.64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15.80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5.72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 ± 4.77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4.40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favorite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80/80/80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16/30/80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30/37/50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80/176/376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50/80/176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40/50/80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65/176/176 (32)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(322)</w:t>
            </w:r>
          </w:p>
        </w:tc>
      </w:tr>
    </w:tbl>
    <w:p>
      <w:pPr>
        <w:jc w:val="center"/>
        <w:pStyle w:val="Figure"/>
      </w:pPr>
      <w:r>
        <w:rPr/>
        <w:drawing>
          <wp:inline distT="0" distB="0" distL="0" distR="0">
            <wp:extent cx="5943600" cy="45720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62"/>
                    <a:stretch>
                      <a:fillRect/>
                    </a:stretch>
                  </pic:blipFill>
                  <pic:spPr bwMode="auto">
                    <a:xfrm>
                      <a:off x="0" y="0"/>
                      <a:ext cx="5943600" cy="4572000"/>
                    </a:xfrm>
                    <a:prstGeom prst="rect">
                      <a:avLst/>
                    </a:prstGeom>
                    <a:noFill/>
                  </pic:spPr>
                </pic:pic>
              </a:graphicData>
            </a:graphic>
          </wp:inline>
        </w:drawing>
      </w:r>
    </w:p>
    <w:p>
      <w:pPr>
        <w:pStyle w:val="Corpsdetexte"/>
      </w:pPr>
      <w:r>
        <w:br w:type="page"/>
      </w:r>
    </w:p>
    <w:p>
      <w:pPr>
        <w:sectPr>
          <w:pgMar w:header="708" w:bottom="1417" w:top="1417" w:right="1417" w:left="1417" w:footer="708" w:gutter="0"/>
          <w:pgSz w:h="16838" w:w="11906" w:orient="portrait"/>
          <w:type w:val="nextPage"/>
          <w:cols/>
        </w:sectPr>
      </w:pPr>
    </w:p>
    <w:bookmarkEnd w:id="55"/>
    <w:bookmarkStart w:id="56" w:name="most-visited-waterbody-distance"/>
    <w:p>
      <w:pPr>
        <w:pStyle w:val="Titre2"/>
      </w:pPr>
      <w:r>
        <w:t xml:space="preserve">Most-Visited Waterbody Distance</w:t>
      </w:r>
    </w:p>
    <w:p>
      <w:pPr>
        <w:pStyle w:val="FirstParagraph"/>
      </w:pPr>
      <w:r>
        <w:t xml:space="preserve">About how far is the one-way distance from your residence to your most visited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1.61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1.07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4.27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16.10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11.70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5.41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14.21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 ± 13.33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9.47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11.21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18.20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14.18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13.84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11.12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5.72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16.46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6.77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8.48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9.59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14.92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15.19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5.82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5.75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4.26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most-visited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5/16/30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50/176/376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30/49/176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30/30/50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50/79/176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(328)</w:t>
            </w:r>
          </w:p>
        </w:tc>
      </w:tr>
    </w:tbl>
    <w:p>
      <w:pPr>
        <w:jc w:val="center"/>
        <w:pStyle w:val="Figure"/>
      </w:pPr>
      <w:r>
        <w:rPr/>
        <w:drawing>
          <wp:inline distT="0" distB="0" distL="0" distR="0">
            <wp:extent cx="5943600" cy="45720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63"/>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6"/>
    <w:bookmarkStart w:id="57" w:name="satisfaction"/>
    <w:p>
      <w:pPr>
        <w:pStyle w:val="Titre2"/>
      </w:pPr>
      <w:r>
        <w:t xml:space="preserve">Satisfaction</w:t>
      </w:r>
    </w:p>
    <w:p>
      <w:pPr>
        <w:pStyle w:val="FirstParagraph"/>
      </w:pPr>
      <w:r>
        <w:t xml:space="preserve">How satisfied were you with your fishing experiences in Nebraska during 2025? Cells are the weighted percentage of the row group giving that response, with a 95 percent confidence interval. N is the raw unweighted number of respondents in the row group who answered the question. Mean scores the five responses from 1 (Very satisfied) to 5 (Very dissatisfied).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4.92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24.6 ± 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12.69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7.27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8.03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6.19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53.1 ± 16.66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14.16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52.2 ± 18.29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16.42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 ± 17.37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17.74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6.97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15.50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 ± 18.49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3.54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54864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6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65"/>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7"/>
    <w:bookmarkStart w:id="58" w:name="live-imaging-sonar-use"/>
    <w:p>
      <w:pPr>
        <w:pStyle w:val="Titre2"/>
      </w:pPr>
      <w:r>
        <w:t xml:space="preserve">Live-imaging Sonar Use</w:t>
      </w:r>
    </w:p>
    <w:p>
      <w:pPr>
        <w:pStyle w:val="FirstParagraph"/>
      </w:pPr>
      <w:r>
        <w:t xml:space="preserve">Did you use LiveScope, MegaLive, ActiveTarget, or a similar live-imaging sonar system in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77.3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93.6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3.75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92.6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17.50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64.8 ± 17.50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84.5 ± 12.99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12.69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12.69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w:t>
            </w:r>
          </w:p>
        </w:tc>
      </w:tr>
    </w:tbl>
    <w:p>
      <w:pPr>
        <w:jc w:val="center"/>
        <w:pStyle w:val="Figure"/>
      </w:pPr>
      <w:r>
        <w:rPr/>
        <w:drawing>
          <wp:inline distT="0" distB="0" distL="0" distR="0">
            <wp:extent cx="5943600" cy="45720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66"/>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8"/>
    <w:bookmarkStart w:id="59" w:name="conservation-officer"/>
    <w:p>
      <w:pPr>
        <w:pStyle w:val="Titre2"/>
      </w:pPr>
      <w:r>
        <w:t xml:space="preserve">Conservation Officer</w:t>
      </w:r>
    </w:p>
    <w:p>
      <w:pPr>
        <w:pStyle w:val="FirstParagraph"/>
      </w:pPr>
      <w:r>
        <w:t xml:space="preserve">Were you checked by a Nebraska conservation officer wearing a sidearm while fishing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72.2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83.8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80.4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91.7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81.3 ± 5.75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5.75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83.9 ± 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80.3 ± 14.29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14.15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88.1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6838" w:w="11906" w:orient="portrait"/>
          <w:type w:val="nextPage"/>
          <w:cols/>
        </w:sectPr>
      </w:pPr>
    </w:p>
    <w:bookmarkEnd w:id="59"/>
    <w:bookmarkStart w:id="60" w:name="guided-trips"/>
    <w:p>
      <w:pPr>
        <w:pStyle w:val="Titre2"/>
      </w:pPr>
      <w:r>
        <w:t xml:space="preserve">Guided Trips</w:t>
      </w:r>
    </w:p>
    <w:p>
      <w:pPr>
        <w:pStyle w:val="FirstParagraph"/>
      </w:pPr>
      <w:r>
        <w:t xml:space="preserve">In 2025, how many times did you hire a fishing guide in and outside Nebraska?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1.38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0.76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1.24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1.18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 (1,891)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3.41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2.42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2.12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2.83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2.60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1.21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2.64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1.03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2.52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2.45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0.61 (355)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2.98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0.95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2.84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0.69 (315)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4.09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4.74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6.79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3.10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2.87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10.62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8.65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8.65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6.59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6.59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9.56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3.99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3.99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8.81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8.81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2.52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(333)</w:t>
            </w:r>
          </w:p>
        </w:tc>
      </w:tr>
    </w:tbl>
    <w:p>
      <w:pPr>
        <w:pStyle w:val="Corpsdetexte"/>
      </w:pPr>
      <w:r>
        <w:t xml:space="preserve">Number of guided trips taken, among anglers who hired a guide in the universe named by each column.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0.24 (165)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0.15 (49)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0.14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0.26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0.16 (116)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1.91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0.26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0.21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0.30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0.31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0.92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0.54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2.23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2.02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0.52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4.02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3.67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0.42 (4)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0.42 (4)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0.31 (12)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sectPr>
          <w:pgMar w:header="708" w:bottom="1417" w:top="1417" w:right="1417" w:left="1417" w:footer="708" w:gutter="0"/>
          <w:pgSz w:h="11906" w:w="16838" w:orient="landscape"/>
          <w:type w:val="nextPage"/>
          <w:cols/>
        </w:sectPr>
      </w:pPr>
    </w:p>
    <w:bookmarkEnd w:id="60"/>
    <w:bookmarkStart w:id="61" w:name="days-fished"/>
    <w:p>
      <w:pPr>
        <w:pStyle w:val="Titre2"/>
      </w:pPr>
      <w:r>
        <w:t xml:space="preserve">Days Fished</w:t>
      </w:r>
    </w:p>
    <w:p>
      <w:pPr>
        <w:pStyle w:val="FirstParagraph"/>
      </w:pPr>
      <w:r>
        <w:t xml:space="preserve">For each month, indicate about how many DAYS you fished in Nebraska during 2025. Total days fished across all months. Cells are the weighted mean for the row group with a 95 percent confidence interval, followed by the raw unweighted number of respondents contributing to that cell.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1.78 (1,834)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16.0/17.0/19.0 (1,834)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3.65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18.0/21.0/24.0 (479)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13.42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7.0/10.1/27.0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8.70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9.0/13.2/17.0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6.60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6.0/9.0/16.0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3.12 (323)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8.0/10.0/13.0 (323)</w:t>
            </w:r>
          </w:p>
        </w:tc>
      </w:tr>
    </w:tbl>
    <w:p>
      <w:pPr>
        <w:jc w:val="center"/>
        <w:pStyle w:val="Figure"/>
      </w:pPr>
      <w:r>
        <w:rPr/>
        <w:drawing>
          <wp:inline distT="0" distB="0" distL="0" distR="0">
            <wp:extent cx="5943600" cy="45720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67"/>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61"/>
    <w:bookmarkStart w:id="62" w:name="ice-fishing"/>
    <w:p>
      <w:pPr>
        <w:pStyle w:val="Titre2"/>
      </w:pPr>
      <w:r>
        <w:t xml:space="preserve">Ice Fishing</w:t>
      </w:r>
    </w:p>
    <w:p>
      <w:pPr>
        <w:pStyle w:val="FirstParagraph"/>
      </w:pPr>
      <w:r>
        <w:t xml:space="preserve">Did you ice fish in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72.6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65.9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79.7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5.30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79.9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87.4 ± 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8.23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94.6 ± 8.23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91.3 ± 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18.82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18.82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90.2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45720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6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62"/>
    <w:bookmarkStart w:id="68" w:name="angler-motivations"/>
    <w:p>
      <w:pPr>
        <w:pStyle w:val="Titre2"/>
      </w:pPr>
      <w:r>
        <w:t xml:space="preserve">Angler Motivations</w:t>
      </w:r>
    </w:p>
    <w:p>
      <w:pPr>
        <w:pStyle w:val="FirstParagraph"/>
      </w:pPr>
      <w:r>
        <w:t xml:space="preserve">Indicate the importance for each item as a reason why you fish. Items are grouped by the motivation sub-scale they belong to in Scales.csv; the grouping organizes the tables and does not change any value. Cells are the weighted mean for the row group with a 95 percent confidence interval, followed by the raw unweighted number of respondents contributing to that cell. These results were weighted. Please consult the survey methodology for details.</w:t>
      </w:r>
    </w:p>
    <w:bookmarkStart w:id="63" w:name="natural-environment"/>
    <w:p>
      <w:pPr>
        <w:pStyle w:val="Titre3"/>
      </w:pPr>
      <w:r>
        <w:t xml:space="preserve">Natural Environment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outdoors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natural surroundings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new and different things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close to the water</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0.04 (1,790)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0.05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(1,753)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0.08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0.30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0.12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0.36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(207)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0.17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0.18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0.40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0.35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0.27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0.29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0.20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0.27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0.32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(312)</w:t>
            </w:r>
          </w:p>
        </w:tc>
      </w:tr>
    </w:tbl>
    <w:bookmarkEnd w:id="63"/>
    <w:bookmarkStart w:id="64" w:name="psychological-and-physiological"/>
    <w:p>
      <w:pPr>
        <w:pStyle w:val="Titre3"/>
      </w:pPr>
      <w:r>
        <w:t xml:space="preserve">Psychological and Physiological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challenge or sport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relaxation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adventure and excitement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physical exercise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(1,775)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(1,751)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0.14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0.37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(160)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(207)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0.17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0.34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0.42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0.34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0.40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0.49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0.57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0.23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0.25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0.32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0.51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0.49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0.51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0.15 (309)</w:t>
            </w:r>
          </w:p>
        </w:tc>
      </w:tr>
    </w:tbl>
    <w:bookmarkEnd w:id="64"/>
    <w:bookmarkStart w:id="65" w:name="social"/>
    <w:p>
      <w:pPr>
        <w:pStyle w:val="Titre3"/>
      </w:pPr>
      <w:r>
        <w:t xml:space="preserve">Social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with friends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other people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the daily routine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family recreation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0.59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0.20 (208)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0.24 (137)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0.40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0.49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0.44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0.54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0.45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0.43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0.39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0.40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(315)</w:t>
            </w:r>
          </w:p>
        </w:tc>
      </w:tr>
    </w:tbl>
    <w:bookmarkEnd w:id="65"/>
    <w:bookmarkStart w:id="66" w:name="fishery-resource"/>
    <w:p>
      <w:pPr>
        <w:pStyle w:val="Titre3"/>
      </w:pPr>
      <w:r>
        <w:t xml:space="preserve">Fishery Resource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compete for prizes or money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obtain fish for eating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catch a trophy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fun of catching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0.03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0.07 (1,763)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0.07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0.05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0.06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0.09 (462)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0.13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0.17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0.10 (296)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0.22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0.44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0.21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0.18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0.21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0.43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0.08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0.24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0.13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0.29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0.06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0.41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0.23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0.44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0.33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0.14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0.42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0.38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0.27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0.27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0.33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0.24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0.22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0.45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0.53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0.30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0.04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0.16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0.14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(317)</w:t>
            </w:r>
          </w:p>
        </w:tc>
      </w:tr>
    </w:tbl>
    <w:bookmarkEnd w:id="66"/>
    <w:bookmarkStart w:id="67" w:name="motivation-scale-scores"/>
    <w:p>
      <w:pPr>
        <w:pStyle w:val="Titre3"/>
      </w:pPr>
      <w:r>
        <w:t xml:space="preserve">Motivation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0.03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(453)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0.09 (328)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0.08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(155)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0.31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0.12 (204)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(201)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0.26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0.26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0.33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0.25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0.39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0.28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0.32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0.20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0.22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0.08 (302)</w:t>
            </w:r>
          </w:p>
        </w:tc>
      </w:tr>
    </w:tbl>
    <w:p>
      <w:pPr>
        <w:jc w:val="center"/>
        <w:pStyle w:val="Figure"/>
      </w:pPr>
      <w:r>
        <w:rPr/>
        <w:drawing>
          <wp:inline distT="0" distB="0" distL="0" distR="0">
            <wp:extent cx="5943600" cy="68580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69"/>
                    <a:stretch>
                      <a:fillRect/>
                    </a:stretch>
                  </pic:blipFill>
                  <pic:spPr bwMode="auto">
                    <a:xfrm>
                      <a:off x="0" y="0"/>
                      <a:ext cx="5943600" cy="6858000"/>
                    </a:xfrm>
                    <a:prstGeom prst="rect">
                      <a:avLst/>
                    </a:prstGeom>
                    <a:noFill/>
                  </pic:spPr>
                </pic:pic>
              </a:graphicData>
            </a:graphic>
          </wp:inline>
        </w:drawing>
      </w:r>
    </w:p>
    <w:p>
      <w:pPr>
        <w:pStyle w:val="Corpsdetexte"/>
      </w:pPr>
      <w:r>
        <w:t xml:space="preserve">The same items also form a two-part split between catch-oriented and non-catch-oriented motivations, reported below on the same basis.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Non-catch Motivations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Motivations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0.04 (1,667)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0.03 (1,664)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(445)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(284)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0.23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(27)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(287)</w:t>
            </w:r>
          </w:p>
        </w:tc>
      </w:tr>
    </w:tbl>
    <w:p>
      <w:pPr>
        <w:pStyle w:val="Corpsdetexte"/>
      </w:pPr>
      <w:r>
        <w:br w:type="page"/>
      </w:r>
    </w:p>
    <w:bookmarkEnd w:id="67"/>
    <w:bookmarkEnd w:id="68"/>
    <w:bookmarkStart w:id="74" w:name="regulations"/>
    <w:p>
      <w:pPr>
        <w:pStyle w:val="Titre2"/>
      </w:pPr>
      <w:r>
        <w:t xml:space="preserve">Regulations</w:t>
      </w:r>
    </w:p>
    <w:p>
      <w:pPr>
        <w:pStyle w:val="FirstParagraph"/>
      </w:pPr>
      <w:r>
        <w:t xml:space="preserve">How much do you agree or disagree with each of the following items regarding fishing regulations? Items are grouped by the regulation sub-scale they belong to in Scales.csv. Item means are computed on the responses as recorded and are not reverse-adjusted, matching the 2025 Crosstabs report. None of the three sub-scales reported here contains a reverse-coded item; the reversals the codebook records for this battery belong to a separate bipolar orientation scale that this report does not use. Cells are the weighted mean for the row group with a 95 percent confidence interval, followed by the raw unweighted number of respondents contributing to that cell. These results were weighted. Please consult the survey methodology for details.</w:t>
      </w:r>
    </w:p>
    <w:bookmarkStart w:id="69" w:name="comprehension-and-confidence"/>
    <w:p>
      <w:pPr>
        <w:pStyle w:val="Titre3"/>
      </w:pPr>
      <w:r>
        <w:t xml:space="preserve">Comprehension and Confidence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Nebraska's mix of statewide and site-specific regulations is easy for me to understand.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Fishing regulations are clear enough that I rarely worry about accidentally breaking them.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feel confident that I understand Nebraska's fishing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(1,690)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0.06 (1,697)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0.11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0.35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0.19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0.20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0.18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0.18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0.36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0.34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0.41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0.32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0.41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0.58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0.40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(285)</w:t>
            </w:r>
          </w:p>
        </w:tc>
      </w:tr>
    </w:tbl>
    <w:bookmarkEnd w:id="69"/>
    <w:bookmarkStart w:id="70" w:name="site-specific-support"/>
    <w:p>
      <w:pPr>
        <w:pStyle w:val="Titre3"/>
      </w:pPr>
      <w:r>
        <w:t xml:space="preserve">Site-Specific Support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trust fisheries' managers to decide when site-specific regulations are necessary.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regulations are important because different waters need different management approaches.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Creating special fishing opportunities at certain waters is worth having lake-specific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0.05 (1,694)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0.09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0.24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0.15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0.34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0.19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0.40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0.43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0.39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0.33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0.21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0.36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(288)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r>
    </w:tbl>
    <w:p>
      <w:pPr>
        <w:sectPr>
          <w:pgMar w:header="708" w:bottom="1417" w:top="1417" w:right="1417" w:left="1417" w:footer="708" w:gutter="0"/>
          <w:pgSz w:h="16838" w:w="11906" w:orient="portrait"/>
          <w:type w:val="nextPage"/>
          <w:cols/>
        </w:sectPr>
      </w:pPr>
    </w:p>
    <w:bookmarkEnd w:id="70"/>
    <w:bookmarkStart w:id="71" w:name="uniform-preference"/>
    <w:p>
      <w:pPr>
        <w:pStyle w:val="Titre3"/>
      </w:pPr>
      <w:r>
        <w:t xml:space="preserve">Uniform Preference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rules make fishing regulations unnecessarily complicated.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Simplified, uniform regulations are more likely to be obeyed by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Fisheries' managers should avoid site-specific regulations to avoid confusing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 is better to have uniform statewide regulations, even if that means they aren't always effective everywhere.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have one set of regulations everywhere, even if it limits unique fishing opportunities.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(1,696)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0.06 (1,689)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 (1,692)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0.11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(452)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0.14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0.35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0.19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0.22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0.20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0.20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0.43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0.46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0.19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0.24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0.24 (130)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0.40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0.42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0.40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0.49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0.40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0.35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0.43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0.25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0.31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0.34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0.50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0.50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0.51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0.51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(287)</w:t>
            </w:r>
          </w:p>
        </w:tc>
      </w:tr>
    </w:tbl>
    <w:p>
      <w:pPr>
        <w:sectPr>
          <w:pgMar w:header="708" w:bottom="1417" w:top="1417" w:right="1417" w:left="1417" w:footer="708" w:gutter="0"/>
          <w:pgSz w:h="11906" w:w="16838" w:orient="landscape"/>
          <w:type w:val="nextPage"/>
          <w:cols/>
        </w:sectPr>
      </w:pPr>
    </w:p>
    <w:bookmarkEnd w:id="71"/>
    <w:bookmarkStart w:id="72" w:name="X97c595939bd62ad2a28a887188b7f2357d52e7a"/>
    <w:p>
      <w:pPr>
        <w:pStyle w:val="Titre3"/>
      </w:pPr>
      <w:r>
        <w:t xml:space="preserve">Items outside the three regulation sub-scales</w:t>
      </w:r>
    </w:p>
    <w:p>
      <w:pPr>
        <w:pStyle w:val="FirstParagraph"/>
      </w:pPr>
      <w:r>
        <w:t xml:space="preserve">These items are part of the battery but belong to no sub-scale of the Regulations scale. Cells are the weighted mean for the row group with a 95 percent confidence interval, followed by the raw unweighted number of respondents contributing to that cell.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Anglers are willing to follow complex regulations to produce high-quality fisheries.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0.35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0.36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0.27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(291)</w:t>
            </w:r>
          </w:p>
        </w:tc>
      </w:tr>
    </w:tbl>
    <w:bookmarkEnd w:id="72"/>
    <w:bookmarkStart w:id="73" w:name="regulation-scale-scores"/>
    <w:p>
      <w:pPr>
        <w:pStyle w:val="Titre3"/>
      </w:pPr>
      <w:r>
        <w:t xml:space="preserve">Regulation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Comprehension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Simplification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0.05 (1,680)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0.09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0.08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0.10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(283)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 (162)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0.31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0.36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0.26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0.38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(282)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(284)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(280)</w:t>
            </w:r>
          </w:p>
        </w:tc>
      </w:tr>
    </w:tbl>
    <w:p>
      <w:pPr>
        <w:jc w:val="center"/>
        <w:pStyle w:val="Figure"/>
      </w:pPr>
      <w:r>
        <w:rPr/>
        <w:drawing>
          <wp:inline distT="0" distB="0" distL="0" distR="0">
            <wp:extent cx="5943600" cy="45720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70"/>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73"/>
    <w:bookmarkEnd w:id="74"/>
    <w:bookmarkStart w:id="80" w:name="angler-attitudes"/>
    <w:p>
      <w:pPr>
        <w:pStyle w:val="Titre2"/>
      </w:pPr>
      <w:r>
        <w:t xml:space="preserve">Angler Attitudes</w:t>
      </w:r>
    </w:p>
    <w:p>
      <w:pPr>
        <w:pStyle w:val="FirstParagraph"/>
      </w:pPr>
      <w:r>
        <w:t xml:space="preserve">Indicate how much you agree with each of the following statements about fishing. Items are grouped by the attitude sub-scale they belong to in Scales.csv. Item means are computed on the responses as recorded and are not reverse-adjusted; a dagger marks an item the codebook flags as reverse-coded.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bookmarkStart w:id="75" w:name="catch-something"/>
    <w:p>
      <w:pPr>
        <w:pStyle w:val="Titre3"/>
      </w:pPr>
      <w:r>
        <w:t xml:space="preserve">Catch something</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fishing trip can be successful even if no fish are caught.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If I thought I wouldn’t catch any fish, I would not go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I’m just as happy if I don’t catch a fish.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 am not satisfied unless I catch at least something.</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(1,716)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0.15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0.24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0.40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0.44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0.51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0.36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0.34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0.26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0.54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(299)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(297)</w:t>
            </w:r>
          </w:p>
        </w:tc>
      </w:tr>
    </w:tbl>
    <w:bookmarkEnd w:id="75"/>
    <w:bookmarkStart w:id="76" w:name="numbers-of-fish"/>
    <w:p>
      <w:pPr>
        <w:pStyle w:val="Titre3"/>
      </w:pPr>
      <w:r>
        <w:t xml:space="preserve">Numbers of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happiest with a fishing trip if I catch at least the limit.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more fish I catch, the happier I am.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successful fishing trip is one in which many fish are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full stringer is the best indicator of a good fishing trip.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0.05 (1,707)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0.06 (1,717)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0.44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0.15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0.17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 (203)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0.38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0.41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0.31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0.35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0.40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0.32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0.28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0.27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0.22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0.45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0.12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0.13 (296)</w:t>
            </w:r>
          </w:p>
        </w:tc>
      </w:tr>
    </w:tbl>
    <w:bookmarkEnd w:id="76"/>
    <w:bookmarkStart w:id="77" w:name="size-of-fish"/>
    <w:p>
      <w:pPr>
        <w:pStyle w:val="Titre3"/>
      </w:pPr>
      <w:r>
        <w:t xml:space="preserve">Size of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bigger the fish I catch, the better the fishing trip.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am the happiest with a fishing trip if I catch a challenging game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catch one or two big fish than ten smaller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like to fish where I know I have a chance to catch a trophy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(1,719)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0.05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0.09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(326)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0.30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0.17 (163)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0.38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0.31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0.44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0.35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0.40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0.35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0.30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0.33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0.31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(297)</w:t>
            </w:r>
          </w:p>
        </w:tc>
      </w:tr>
    </w:tbl>
    <w:bookmarkEnd w:id="77"/>
    <w:bookmarkStart w:id="78" w:name="harvesting-fish"/>
    <w:p>
      <w:pPr>
        <w:pStyle w:val="Titre3"/>
      </w:pPr>
      <w:r>
        <w:t xml:space="preserve">Harvesting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want to keep all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release all the fish I catch.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usually eat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don't keep the fish I catch. †</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0.06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0.07 (1,714)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(1,709)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0.08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0.09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0.13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0.10 (325)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0.11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0.21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0.23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0.35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0.31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0.15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0.23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0.18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0.26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0.19 (132)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0.35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0.38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0.31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0.26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0.30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0.29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0.40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0.46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0.43 (27)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0.12 (297)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0.12 (295)</w:t>
            </w:r>
          </w:p>
        </w:tc>
      </w:tr>
    </w:tbl>
    <w:bookmarkEnd w:id="78"/>
    <w:bookmarkStart w:id="79" w:name="attitude-scale-scores"/>
    <w:p>
      <w:pPr>
        <w:pStyle w:val="Titre3"/>
      </w:pPr>
      <w:r>
        <w:t xml:space="preserve">Attitude scale scores</w:t>
      </w:r>
    </w:p>
    <w:p>
      <w:pPr>
        <w:pStyle w:val="FirstParagraph"/>
      </w:pPr>
      <w:r>
        <w:t xml:space="preserve">Each scale score is the mean of its items, computed only for respondents who answered every item in that scale. Reverse-coded items are reversed before the scale score is formed.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0.05 (1,704)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(1,695)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(1,653)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0.08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(441)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0.09 (315)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0.08 (314)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0.09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0.26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0.26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0.22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(205)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(201)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(196)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0.29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0.29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0.28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0.22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0.23 (72)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0.34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0.28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0.29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0.37 (27)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0.11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0.10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0.10 (285)</w:t>
            </w:r>
          </w:p>
        </w:tc>
      </w:tr>
    </w:tbl>
    <w:p>
      <w:pPr>
        <w:jc w:val="center"/>
        <w:pStyle w:val="Figure"/>
      </w:pPr>
      <w:r>
        <w:rPr/>
        <w:drawing>
          <wp:inline distT="0" distB="0" distL="0" distR="0">
            <wp:extent cx="5943600" cy="68580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71"/>
                    <a:stretch>
                      <a:fillRect/>
                    </a:stretch>
                  </pic:blipFill>
                  <pic:spPr bwMode="auto">
                    <a:xfrm>
                      <a:off x="0" y="0"/>
                      <a:ext cx="5943600" cy="6858000"/>
                    </a:xfrm>
                    <a:prstGeom prst="rect">
                      <a:avLst/>
                    </a:prstGeom>
                    <a:noFill/>
                  </pic:spPr>
                </pic:pic>
              </a:graphicData>
            </a:graphic>
          </wp:inline>
        </w:drawing>
      </w:r>
    </w:p>
    <w:p>
      <w:pPr>
        <w:pStyle w:val="Corpsdetexte"/>
      </w:pPr>
      <w:r>
        <w:br w:type="page"/>
      </w:r>
    </w:p>
    <w:bookmarkEnd w:id="79"/>
    <w:bookmarkEnd w:id="80"/>
    <w:bookmarkStart w:id="81" w:name="gender"/>
    <w:p>
      <w:pPr>
        <w:pStyle w:val="Titre2"/>
      </w:pPr>
      <w:r>
        <w:t xml:space="preserve">Gender</w:t>
      </w:r>
    </w:p>
    <w:p>
      <w:pPr>
        <w:pStyle w:val="FirstParagraph"/>
      </w:pPr>
      <w:r>
        <w:t xml:space="preserve">What is your gender? Cells are the weighted percentage of the row group giving that response, with a 95 percent confidence interval. N is the raw unweighted number of respondents in the row group who answered the question. These results were weighted. Please consult the survey methodology for details. Percentages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82.8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85.3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80.3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83.3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95.0 ± 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64.6 ± 18.36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 ± 18.36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84.5 ± 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11.85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w:t>
            </w:r>
          </w:p>
        </w:tc>
      </w:tr>
    </w:tbl>
    <w:p>
      <w:pPr>
        <w:pStyle w:val="Corpsdetexte"/>
      </w:pPr>
      <w:r>
        <w:br w:type="page"/>
      </w:r>
    </w:p>
    <w:bookmarkEnd w:id="81"/>
    <w:bookmarkStart w:id="82" w:name="age"/>
    <w:p>
      <w:pPr>
        <w:pStyle w:val="Titre2"/>
      </w:pPr>
      <w:r>
        <w:t xml:space="preserve">Age</w:t>
      </w:r>
    </w:p>
    <w:p>
      <w:pPr>
        <w:pStyle w:val="FirstParagraph"/>
      </w:pPr>
      <w:r>
        <w:t xml:space="preserve">Respondent age group. Cells are the weighted percentage of the row group giving that response, with a 95 percent confidence interval. N is the raw unweighted number of respondents in the row group who answered the question. The final column is the weighted mean age in years, taken from the reported age rather than from the bands, and computed on the same respondents as the percentages. These results were weighted. Please consult the survey methodology for details. Percentages and the mean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16-24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25-34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35-44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45-54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55-64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65 and older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age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1.69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2.09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2.02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1.80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0.88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42.8 ±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16.06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13.94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12.70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38.3 ± 5.85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7.11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52.1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5.34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5.68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2.60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49.6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10.90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13.14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12.95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41.6 ± 18.37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10.85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13.07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16.90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10.61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12.15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14.93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7.09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14.31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14.19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10.03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2.14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bl>
    <w:p>
      <w:pPr>
        <w:pStyle w:val="Corpsdetexte"/>
      </w:pPr>
      <w:r>
        <w:br w:type="page"/>
      </w:r>
    </w:p>
    <w:bookmarkEnd w:id="82"/>
    <w:bookmarkEnd w:id="83"/>
    <w:bookmarkStart w:id="88" w:name="chapter-4-satisfaction"/>
    <w:p>
      <w:pPr>
        <w:pStyle w:val="Titre1"/>
      </w:pPr>
      <w:r>
        <w:t xml:space="preserve">Chapter 4: Satisfaction</w:t>
      </w:r>
    </w:p>
    <w:p>
      <w:pPr>
        <w:pStyle w:val="FirstParagraph"/>
      </w:pPr>
      <w:r>
        <w:t xml:space="preserve">The survey measures satisfaction in two places that this report has so far kept apart. A9 asks how satisfied the angler was with fishing in Nebraska during 2025 and is reported in Chapter 3. Five items in the D4 battery ask about the one type of fish the angler prefers to fish for and are reported one at a time in Chapter 2. This chapter puts all six in one place, pointing the same direction, across the same preferred groups. No cell is computed differently here: the same summary functions, the same universe, and the same row set are used, so a value in this chapter and its counterpart in Chapter 2 or 3 are the same number.</w:t>
      </w:r>
    </w:p>
    <w:p>
      <w:pPr>
        <w:pStyle w:val="Corpsdetexte"/>
      </w:pPr>
      <w:r>
        <w:t xml:space="preserve">A9 appears here as 6 minus the recorded response, so that every item in this chapter runs the same way and a higher score is always more satisfied. Chapter 3 reports A9 on its recorded scale, where 1 is Very satisfied. The two are the same estimate with the same confidence interval: the overall 2.3 plus or minus 0.06 in Chapter 3 is 3.7 plus or minus 0.06 here.</w:t>
      </w:r>
    </w:p>
    <w:p>
      <w:pPr>
        <w:pStyle w:val="Corpsdetexte"/>
      </w:pPr>
      <w:r>
        <w:t xml:space="preserve">Rows are the preferred groups from Chapter 1, with individual species indented beneath the family group that contains them. Family rows include the respondents in their species rows, so rows overlap and must not be totalled.</w:t>
      </w:r>
    </w:p>
    <w:p>
      <w:pPr>
        <w:pStyle w:val="Corpsdetexte"/>
      </w:pPr>
      <w:r>
        <w:br w:type="page"/>
      </w:r>
    </w:p>
    <w:bookmarkStart w:id="84" w:name="the-satisfaction-items"/>
    <w:p>
      <w:pPr>
        <w:pStyle w:val="Titre2"/>
      </w:pPr>
      <w:r>
        <w:t xml:space="preserve">The satisfaction items</w:t>
      </w:r>
    </w:p>
    <w:p>
      <w:pPr>
        <w:pStyle w:val="FirstParagraph"/>
      </w:pPr>
      <w:r>
        <w:t xml:space="preserve">The six items, with the question text as it appears in the instrument, the short name used in the tables that follow, and the chapter that reports the item in full. N is the raw unweighted number of respondents in the analysis sample who answered the item; the mean is weighted, with a 95 percent confidence interval.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Question text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Short name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Also in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 mean ± CI</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How satisfied were you with your fishing experiences in Nebraska during 2025?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Season 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happy with my success fishing for my preferred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Success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catch in Nebraska.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am allowed to harvest in Nebraska.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harvestable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catch in Nebraska.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am allowed to harvest in Nebraska.</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harvestable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r>
    </w:tbl>
    <w:p>
      <w:pPr>
        <w:pStyle w:val="Corpsdetexte"/>
      </w:pPr>
      <w:r>
        <w:br w:type="page"/>
      </w:r>
    </w:p>
    <w:p>
      <w:pPr>
        <w:sectPr>
          <w:pgMar w:header="708" w:bottom="1417" w:top="1417" w:right="1417" w:left="1417" w:footer="708" w:gutter="0"/>
          <w:pgSz w:h="16838" w:w="11906" w:orient="portrait"/>
          <w:type w:val="nextPage"/>
          <w:cols/>
        </w:sectPr>
      </w:pPr>
    </w:p>
    <w:bookmarkEnd w:id="84"/>
    <w:bookmarkStart w:id="85" w:name="satisfaction-by-preferred-group"/>
    <w:p>
      <w:pPr>
        <w:pStyle w:val="Titre2"/>
      </w:pPr>
      <w:r>
        <w:t xml:space="preserve">Satisfaction by preferred group</w:t>
      </w:r>
    </w:p>
    <w:p>
      <w:pPr>
        <w:pStyle w:val="FirstParagraph"/>
      </w:pPr>
      <w:r>
        <w:t xml:space="preserve">All six items across the preferred groups. Cells are the weighted mean for the row group with a 95 percent confidence interval, followed by the raw unweighted number of respondents contributing to that cell. Rows are the preferred groups from Chapter 1, with individual species indented beneath the family group that contains them. Family rows include the respondents in their species rows, so rows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Season overall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(1,871)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(1,555)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(1,533)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 (1,524)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(1,533)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 (1,525)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(334)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(171)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0.38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0.32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0.38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0.35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0.42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0.34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(325)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 (49)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 (49)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(49)</w:t>
            </w:r>
          </w:p>
        </w:tc>
      </w:tr>
    </w:tbl>
    <w:bookmarkEnd w:id="85"/>
    <w:bookmarkStart w:id="86" w:name="size-and-numbers-the-fish-anglers-catch"/>
    <w:p>
      <w:pPr>
        <w:pStyle w:val="Titre2"/>
      </w:pPr>
      <w:r>
        <w:t xml:space="preserve">Size and numbers: the fish anglers catch</w:t>
      </w:r>
    </w:p>
    <w:p>
      <w:pPr>
        <w:pStyle w:val="FirstParagraph"/>
      </w:pPr>
      <w:r>
        <w:t xml:space="preserve">D4i and D4k ask the same question about the same fish, one about the size caught and one about the number caught, so the two can be compared within an angler rather than across anglers.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0.55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45720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72"/>
                    <a:stretch>
                      <a:fillRect/>
                    </a:stretch>
                  </pic:blipFill>
                  <pic:spPr bwMode="auto">
                    <a:xfrm>
                      <a:off x="0" y="0"/>
                      <a:ext cx="5943600" cy="4572000"/>
                    </a:xfrm>
                    <a:prstGeom prst="rect">
                      <a:avLst/>
                    </a:prstGeom>
                    <a:noFill/>
                  </pic:spPr>
                </pic:pic>
              </a:graphicData>
            </a:graphic>
          </wp:inline>
        </w:drawing>
      </w:r>
    </w:p>
    <w:p>
      <w:pPr>
        <w:pStyle w:val="Corpsdetexte"/>
      </w:pPr>
      <w:r>
        <w:t xml:space="preserve">Reading the difference column against its own interval, and without any adjustment for the number of groups compared: the interval lies above zero, with size rated higher than numbers, for Flathead catfish, Wiper, Catfish, Walleye / Sauger; it lies below zero, with numbers rated higher than size, for Largemouth bass, Bass. For the remaining 9 groups the interval includes zero. Overall the difference is 0.07 ± 0.06.</w:t>
      </w:r>
    </w:p>
    <w:p>
      <w:pPr>
        <w:pStyle w:val="Corpsdetexte"/>
      </w:pPr>
      <w:r>
        <w:br w:type="page"/>
      </w:r>
    </w:p>
    <w:bookmarkEnd w:id="86"/>
    <w:bookmarkStart w:id="87" w:name="X2c24d475ce42ae6209e2e60ea847336235e6fab"/>
    <w:p>
      <w:pPr>
        <w:pStyle w:val="Titre2"/>
      </w:pPr>
      <w:r>
        <w:t xml:space="preserve">Size and numbers: the fish anglers may harvest</w:t>
      </w:r>
    </w:p>
    <w:p>
      <w:pPr>
        <w:pStyle w:val="FirstParagraph"/>
      </w:pPr>
      <w:r>
        <w:t xml:space="preserve">D4j and D4l repeat the comparison for the fish an angler is allowed to keep rather than the fish caught.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 ± 0.04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 ± 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45720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73"/>
                    <a:stretch>
                      <a:fillRect/>
                    </a:stretch>
                  </pic:blipFill>
                  <pic:spPr bwMode="auto">
                    <a:xfrm>
                      <a:off x="0" y="0"/>
                      <a:ext cx="5943600" cy="4572000"/>
                    </a:xfrm>
                    <a:prstGeom prst="rect">
                      <a:avLst/>
                    </a:prstGeom>
                    <a:noFill/>
                  </pic:spPr>
                </pic:pic>
              </a:graphicData>
            </a:graphic>
          </wp:inline>
        </w:drawing>
      </w:r>
    </w:p>
    <w:p>
      <w:pPr>
        <w:pStyle w:val="Corpsdetexte"/>
      </w:pPr>
      <w:r>
        <w:t xml:space="preserve">On the same reading: the interval lies above zero for none, and below zero for No preference. For the remaining 14 groups the interval includes zero. Overall the difference is -0.00 ± 0.04.</w:t>
      </w:r>
    </w:p>
    <w:p>
      <w:pPr>
        <w:pStyle w:val="Corpsdetexte"/>
      </w:pPr>
      <w:r>
        <w:br w:type="page"/>
      </w:r>
    </w:p>
    <w:bookmarkEnd w:id="87"/>
    <w:bookmarkEnd w:id="88"/>
    <w:bookmarkStart w:id="102" w:name="chapter-5-angler-type-profiles"/>
    <w:p>
      <w:pPr>
        <w:pStyle w:val="Titre1"/>
      </w:pPr>
      <w:r>
        <w:t xml:space="preserve">Chapter 5: Angler Type Profiles</w:t>
      </w:r>
    </w:p>
    <w:p>
      <w:pPr>
        <w:pStyle w:val="FirstParagraph"/>
      </w:pPr>
      <w:r>
        <w:t xml:space="preserve">This chapter groups anglers into profiles using a latent profile analysis of eleven scale scores reported in Chapter 3: the four angler-attitude scales, the four motivation scales, and the three regulation scales. One model is fitted to the whole report universe, so the profiles are defined once and are the same in every preferred-species row; the tables below report how each row’s respondents are distributed across them. The model is fitted without the survey weights. Every percentage and mean reported from it is weighted, with intervals built on the Kish effective N and raw unweighted counts displayed, as in Chapters 1 to 4.</w:t>
      </w:r>
    </w:p>
    <w:p>
      <w:pPr>
        <w:pStyle w:val="Corpsdetexte"/>
      </w:pPr>
      <w:r>
        <w:t xml:space="preserve">1,718 of the 1,915 respondents in this report’s universe (89.7%) answered at least 7 of the eleven scales and were included in the fit. Scales that a fitted respondent left blank are handled within the model rather than imputed. The other 197 respondents are reported as Unassigned rather than dropped. Profiles are numbered 1 to 6 in the order the estimation produced them; the numbers are labels and carry no order.</w:t>
      </w:r>
    </w:p>
    <w:p>
      <w:pPr>
        <w:sectPr>
          <w:pgMar w:header="708" w:bottom="1417" w:top="1417" w:right="1417" w:left="1417" w:footer="708" w:gutter="0"/>
          <w:pgSz w:h="16838" w:w="11906" w:orient="portrait"/>
          <w:type w:val="nextPage"/>
          <w:cols/>
        </w:sectPr>
      </w:pPr>
    </w:p>
    <w:bookmarkStart w:id="89" w:name="choosing-the-number-of-profiles"/>
    <w:p>
      <w:pPr>
        <w:pStyle w:val="Titre2"/>
      </w:pPr>
      <w:r>
        <w:t xml:space="preserve">Choosing the number of profiles</w:t>
      </w:r>
    </w:p>
    <w:p>
      <w:pPr>
        <w:pStyle w:val="FirstParagraph"/>
      </w:pPr>
      <w:r>
        <w:t xml:space="preserve">Models with 1 to 6 profiles were fitted under two within-profile variance structures: equal, in which every profile shares one variance per scale, and varying, in which each profile has its own. The equal structure was extended to 8 profiles. The model used in the rest of this chapter is the one with the lowest BIC among models that converged, whose smallest profile holds at least 5 percent of fitted respondents, and whose relative entropy is at least 0.60. That is the 6-profile equal-variance model. BIC is minus twice the log-likelihood plus the number of estimated parameters times the natural log of the number of fitted respondents; lower values indicate better fit. Relative entropy runs from 0 to 1, with 1 meaning every respondent is assigned with certainty. The lowest mean assigned probability is the average membership probability among the respondents assigned to a profile, for the profile where that average is smallest. OpenMx status 0 or 1 indicates the estimation converged. All values in this table are unweighted model quantities.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Variances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Profiles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Parameters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Log-likelihood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BIC</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Relative entropy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Smallest profile n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Lowest mean assigned probability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OpenMx status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Eligible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-22,120.2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44,404.4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1,718 (100.0%)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42,837.9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805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42,104.8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 (22.9%)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-20,285.6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41,092.5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(15.3%)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 (selected)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-20,037.2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40,774.7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smallest profile below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smallest profile below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44,404.4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1,718 (100.0%)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42,781.2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754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-20,774.8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(25.4%)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-19,229.3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39,307.8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not converged (status 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-18,863.0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38,746.6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(13.3%)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not converged (status 6)</w:t>
            </w:r>
          </w:p>
        </w:tc>
      </w:tr>
    </w:tbl>
    <w:p>
      <w:pPr>
        <w:pStyle w:val="Corpsdetexte"/>
      </w:pPr>
      <w:r>
        <w:t xml:space="preserve">Four models with a lower BIC than the selected model are not eligible. The 7- and 8-profile equal-variance models converged, but their smallest profiles hold 4.1 and 3.3 percent of fitted respondents. BIC is lower at every larger equal-variance model fitted, so the selected model is the largest eligible equal-variance model rather than the point at which BIC stops decreasing. The 5- and 6-profile varying-variance models did not converge (OpenMx status 6). In each, one profile (271 and 277 respondents) contains only respondents at the scale maximum of 5 on the Site-specific regulation scale among those who answered it (267 of 267 and 273 of 273), and that profile’s estimated variance on the scale is effectively zero (5.5e-06 and 3.6e-07).</w:t>
      </w:r>
    </w:p>
    <w:bookmarkEnd w:id="89"/>
    <w:bookmarkStart w:id="90" w:name="assignment-certainty"/>
    <w:p>
      <w:pPr>
        <w:pStyle w:val="Titre2"/>
      </w:pPr>
      <w:r>
        <w:t xml:space="preserve">Assignment certainty</w:t>
      </w:r>
    </w:p>
    <w:p>
      <w:pPr>
        <w:pStyle w:val="FirstParagraph"/>
      </w:pPr>
      <w:r>
        <w:t xml:space="preserve">Each fitted respondent is assigned to the profile with the highest estimated membership probability. The table below shows how certain those assignments are, by the number of scales the respondent answered. The values are unweighted model quantities for the 1,718 fitted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Scales answered (of 11)</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probability of assigned profile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Assigned with probability below 0.70</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w:t>
            </w:r>
          </w:p>
        </w:tc>
      </w:tr>
    </w:tbl>
    <w:p>
      <w:pPr>
        <w:sectPr>
          <w:pgMar w:header="708" w:bottom="1417" w:top="1417" w:right="1417" w:left="1417" w:footer="708" w:gutter="0"/>
          <w:pgSz w:h="11906" w:w="16838" w:orient="landscape"/>
          <w:type w:val="nextPage"/>
          <w:cols/>
        </w:sectPr>
      </w:pPr>
    </w:p>
    <w:bookmarkEnd w:id="90"/>
    <w:bookmarkStart w:id="91" w:name="profile-means"/>
    <w:p>
      <w:pPr>
        <w:pStyle w:val="Titre2"/>
      </w:pPr>
      <w:r>
        <w:t xml:space="preserve">Profile means</w:t>
      </w:r>
    </w:p>
    <w:p>
      <w:pPr>
        <w:pStyle w:val="FirstParagraph"/>
      </w:pPr>
      <w:r>
        <w:t xml:space="preserve">The two figures below show the weighted mean of each scale for the respondents assigned to each profile, with 95 percent confidence intervals. These are weighted means of the assigned respondents, not the unweighted means the model estimated for each profile. The first figure places the profiles side by side across the eleven scales.</w:t>
      </w:r>
    </w:p>
    <w:p>
      <w:pPr>
        <w:jc w:val="center"/>
        <w:pStyle w:val="Figure"/>
      </w:pPr>
      <w:r>
        <w:rPr/>
        <w:drawing>
          <wp:inline distT="0" distB="0" distL="0" distR="0">
            <wp:extent cx="5943600" cy="5029200"/>
            <wp:docPr id="111" name="" descr=""/>
            <wp:cNvGraphicFramePr>
              <a:graphicFrameLocks noChangeAspect="1"/>
            </wp:cNvGraphicFramePr>
            <a:graphic>
              <a:graphicData uri="http://schemas.openxmlformats.org/drawingml/2006/picture">
                <pic:pic>
                  <pic:nvPicPr>
                    <pic:cNvPr id="112" name=""/>
                    <pic:cNvPicPr>
                      <a:picLocks noChangeAspect="1" noChangeArrowheads="1"/>
                    </pic:cNvPicPr>
                  </pic:nvPicPr>
                  <pic:blipFill>
                    <a:blip r:embed="rId74"/>
                    <a:stretch>
                      <a:fillRect/>
                    </a:stretch>
                  </pic:blipFill>
                  <pic:spPr bwMode="auto">
                    <a:xfrm>
                      <a:off x="0" y="0"/>
                      <a:ext cx="5943600" cy="5029200"/>
                    </a:xfrm>
                    <a:prstGeom prst="rect">
                      <a:avLst/>
                    </a:prstGeom>
                    <a:noFill/>
                  </pic:spPr>
                </pic:pic>
              </a:graphicData>
            </a:graphic>
          </wp:inline>
        </w:drawing>
      </w:r>
    </w:p>
    <w:p>
      <w:pPr>
        <w:pStyle w:val="Corpsdetexte"/>
      </w:pPr>
      <w:r>
        <w:t xml:space="preserve">The second figure shows one panel per scale, with the profiles along the horizontal axis and the Overall weighted mean for every respondent who answered that scale as a dashed line.</w:t>
      </w:r>
    </w:p>
    <w:p>
      <w:pPr>
        <w:jc w:val="center"/>
        <w:pStyle w:val="Figure"/>
      </w:pPr>
      <w:r>
        <w:rPr/>
        <w:drawing>
          <wp:inline distT="0" distB="0" distL="0" distR="0">
            <wp:extent cx="5943600" cy="6400800"/>
            <wp:docPr id="113" name="" descr=""/>
            <wp:cNvGraphicFramePr>
              <a:graphicFrameLocks noChangeAspect="1"/>
            </wp:cNvGraphicFramePr>
            <a:graphic>
              <a:graphicData uri="http://schemas.openxmlformats.org/drawingml/2006/picture">
                <pic:pic>
                  <pic:nvPicPr>
                    <pic:cNvPr id="114" name=""/>
                    <pic:cNvPicPr>
                      <a:picLocks noChangeAspect="1" noChangeArrowheads="1"/>
                    </pic:cNvPicPr>
                  </pic:nvPicPr>
                  <pic:blipFill>
                    <a:blip r:embed="rId75"/>
                    <a:stretch>
                      <a:fillRect/>
                    </a:stretch>
                  </pic:blipFill>
                  <pic:spPr bwMode="auto">
                    <a:xfrm>
                      <a:off x="0" y="0"/>
                      <a:ext cx="5943600" cy="6400800"/>
                    </a:xfrm>
                    <a:prstGeom prst="rect">
                      <a:avLst/>
                    </a:prstGeom>
                    <a:noFill/>
                  </pic:spPr>
                </pic:pic>
              </a:graphicData>
            </a:graphic>
          </wp:inline>
        </w:drawing>
      </w:r>
    </w:p>
    <w:p>
      <w:pPr>
        <w:sectPr>
          <w:pgMar w:header="708" w:bottom="1417" w:top="1417" w:right="1417" w:left="1417" w:footer="708" w:gutter="0"/>
          <w:pgSz w:h="16838" w:w="11906" w:orient="portrait"/>
          <w:type w:val="nextPage"/>
          <w:cols/>
        </w:sectPr>
      </w:pPr>
    </w:p>
    <w:p>
      <w:pPr>
        <w:pStyle w:val="Corpsdetexte"/>
      </w:pPr>
      <w:r>
        <w:t xml:space="preserve">The values behind both figures are below. The Overall column is computed on every respondent in the universe who answered the scale, including Unassigned respondents, and equals the Overall row of the Chapter 3 scale tables.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15" name=""/>
                  <wp:cNvGraphicFramePr>
                    <a:graphicFrameLocks noChangeAspect="1"/>
                  </wp:cNvGraphicFramePr>
                  <a:graphic>
                    <a:graphicData uri="http://schemas.openxmlformats.org/drawingml/2006/picture">
                      <pic:pic>
                        <pic:nvPicPr>
                          <pic:cNvPr id="116" name=""/>
                          <pic:cNvPicPr>
                            <a:picLocks noChangeAspect="1" noChangeArrowheads="1"/>
                          </pic:cNvPicPr>
                        </pic:nvPicPr>
                        <pic:blipFill>
                          <a:blip r:embed="rId76"/>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17" name=""/>
                  <wp:cNvGraphicFramePr>
                    <a:graphicFrameLocks noChangeAspect="1"/>
                  </wp:cNvGraphicFramePr>
                  <a:graphic>
                    <a:graphicData uri="http://schemas.openxmlformats.org/drawingml/2006/picture">
                      <pic:pic>
                        <pic:nvPicPr>
                          <pic:cNvPr id="118" name=""/>
                          <pic:cNvPicPr>
                            <a:picLocks noChangeAspect="1" noChangeArrowheads="1"/>
                          </pic:cNvPicPr>
                        </pic:nvPicPr>
                        <pic:blipFill>
                          <a:blip r:embed="rId77"/>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19" name=""/>
                  <wp:cNvGraphicFramePr>
                    <a:graphicFrameLocks noChangeAspect="1"/>
                  </wp:cNvGraphicFramePr>
                  <a:graphic>
                    <a:graphicData uri="http://schemas.openxmlformats.org/drawingml/2006/picture">
                      <pic:pic>
                        <pic:nvPicPr>
                          <pic:cNvPr id="120"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1" name=""/>
                  <wp:cNvGraphicFramePr>
                    <a:graphicFrameLocks noChangeAspect="1"/>
                  </wp:cNvGraphicFramePr>
                  <a:graphic>
                    <a:graphicData uri="http://schemas.openxmlformats.org/drawingml/2006/picture">
                      <pic:pic>
                        <pic:nvPicPr>
                          <pic:cNvPr id="122"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3" name=""/>
                  <wp:cNvGraphicFramePr>
                    <a:graphicFrameLocks noChangeAspect="1"/>
                  </wp:cNvGraphicFramePr>
                  <a:graphic>
                    <a:graphicData uri="http://schemas.openxmlformats.org/drawingml/2006/picture">
                      <pic:pic>
                        <pic:nvPicPr>
                          <pic:cNvPr id="124"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5" name=""/>
                  <wp:cNvGraphicFramePr>
                    <a:graphicFrameLocks noChangeAspect="1"/>
                  </wp:cNvGraphicFramePr>
                  <a:graphic>
                    <a:graphicData uri="http://schemas.openxmlformats.org/drawingml/2006/picture">
                      <pic:pic>
                        <pic:nvPicPr>
                          <pic:cNvPr id="126"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Domain</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Scale</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r>
      <w:tr>
        <w:trPr>
          <w:trHeight w:val="360" w:hRule="auto"/>
        </w:trPr>
        <w:tc>
          <w:tcPr>
            <w:vMerge w:val="restart"/>
            <w:tcBorders>
              <w:bottom w:val="single" w:sz="8"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Attitudes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0.05 (1,704)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0.08 (355)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0.07 (344)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0.09 (291)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0.10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0.09 (307)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0.12 (116)</w:t>
            </w:r>
          </w:p>
        </w:tc>
      </w:tr>
      <w:tr>
        <w:trPr>
          <w:trHeight w:val="360" w:hRule="auto"/>
        </w:trPr>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0.06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0.06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0.08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0.10 (116)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(1,695)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0.07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0.08 (305)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0.14 (117)</w:t>
            </w:r>
          </w:p>
        </w:tc>
      </w:tr>
      <w:tr>
        <w:trPr>
          <w:trHeight w:val="360" w:hRule="auto"/>
        </w:trPr>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(1,653)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0.09 (347)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0.09 (334)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0.09 (282)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0.11 (267)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0.11 (296)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0.13 (118)</w:t>
            </w:r>
          </w:p>
        </w:tc>
      </w:tr>
      <w:tr>
        <w:trPr>
          <w:trHeight w:val="360" w:hRule="auto"/>
        </w:trPr>
        <w:tc>
          <w:tcPr>
            <w:vMerge w:val="restart"/>
            <w:tcBorders>
              <w:bottom w:val="single" w:sz="8"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Motivations</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(1,712)</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(350)</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(333)</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(281)</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0.07 (277)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0.07 (299)</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(111)</w:t>
            </w:r>
          </w:p>
        </w:tc>
      </w:tr>
      <w:tr>
        <w:trPr>
          <w:trHeight w:val="360" w:hRule="auto"/>
        </w:trPr>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0.04 (1,710)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0.06 (281)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0.07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0.13 (117)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0.04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0.06 (348)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0.08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0.07 (274)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(293)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0.15 (116)</w:t>
            </w:r>
          </w:p>
        </w:tc>
      </w:tr>
      <w:tr>
        <w:trPr>
          <w:trHeight w:val="360" w:hRule="auto"/>
        </w:trPr>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0.03 (1,715)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0.05 (349)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(326)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0.06 (284)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(279)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0.06 (295)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0.08 (118)</w:t>
            </w:r>
          </w:p>
        </w:tc>
      </w:tr>
      <w:tr>
        <w:trPr>
          <w:trHeight w:val="360" w:hRule="auto"/>
        </w:trPr>
        <w:tc>
          <w:tcPr>
            <w:vMerge w:val="restart"/>
            <w:tcBorders>
              <w:bottom w:val="single" w:sz="12"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Regulations</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Comprehension</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0.05 (1,680)</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0.09 (353)</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(337)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0.08 (281)</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(277)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(302)</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0.11 (117)</w:t>
            </w:r>
          </w:p>
        </w:tc>
      </w:tr>
      <w:tr>
        <w:trPr>
          <w:trHeight w:val="360" w:hRule="auto"/>
        </w:trPr>
        <w:tc>
          <w:tcPr>
            <w:vMerge/>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Site-specific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0.07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0.10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0.09 (117)</w:t>
            </w:r>
          </w:p>
        </w:tc>
      </w:tr>
      <w:tr>
        <w:trPr>
          <w:trHeight w:val="360" w:hRule="auto"/>
        </w:trPr>
        <w:tc>
          <w:tcPr>
            <w:vMerge/>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Simplification</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(1,666)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0.07 (350)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(338)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(278)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(278)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(300)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0.14 (113)</w:t>
            </w:r>
          </w:p>
        </w:tc>
      </w:tr>
    </w:tbl>
    <w:bookmarkEnd w:id="91"/>
    <w:bookmarkStart w:id="92" w:name="profiles-on-other-survey-questions"/>
    <w:p>
      <w:pPr>
        <w:pStyle w:val="Titre2"/>
      </w:pPr>
      <w:r>
        <w:t xml:space="preserve">Profiles on other survey questions</w:t>
      </w:r>
    </w:p>
    <w:p>
      <w:pPr>
        <w:pStyle w:val="FirstParagraph"/>
      </w:pPr>
      <w:r>
        <w:t xml:space="preserve">The table below compares the profiles on other survey questions. Each question keeps the universe it has in Chapter 3, so N differs by row, and the Overall column equals the Overall row of the corresponding Chapter 3 table. Unassigned respondents are counted in Overall only and have no column of their own. The river and stream row counts a respondent who fished the Missouri River, the Platte River, or other streams, rivers, and canals; it combines three Chapter 3 waterbody types and has no single Chapter 3 counterpart. Percentage and mean cells show the weighted value with a 95 percent confidence interval, followed by N. Median cells show the lower limit, the weighted median and the upper limit, followed by N, as in Chapter 3. Satisfaction is scored from 1, Very satisfied, to 5, Very dissatisfied, as in Chapter 3.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7" name=""/>
                  <wp:cNvGraphicFramePr>
                    <a:graphicFrameLocks noChangeAspect="1"/>
                  </wp:cNvGraphicFramePr>
                  <a:graphic>
                    <a:graphicData uri="http://schemas.openxmlformats.org/drawingml/2006/picture">
                      <pic:pic>
                        <pic:nvPicPr>
                          <pic:cNvPr id="128" name=""/>
                          <pic:cNvPicPr>
                            <a:picLocks noChangeAspect="1" noChangeArrowheads="1"/>
                          </pic:cNvPicPr>
                        </pic:nvPicPr>
                        <pic:blipFill>
                          <a:blip r:embed="rId76"/>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9" name=""/>
                  <wp:cNvGraphicFramePr>
                    <a:graphicFrameLocks noChangeAspect="1"/>
                  </wp:cNvGraphicFramePr>
                  <a:graphic>
                    <a:graphicData uri="http://schemas.openxmlformats.org/drawingml/2006/picture">
                      <pic:pic>
                        <pic:nvPicPr>
                          <pic:cNvPr id="130" name=""/>
                          <pic:cNvPicPr>
                            <a:picLocks noChangeAspect="1" noChangeArrowheads="1"/>
                          </pic:cNvPicPr>
                        </pic:nvPicPr>
                        <pic:blipFill>
                          <a:blip r:embed="rId77"/>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1" name=""/>
                  <wp:cNvGraphicFramePr>
                    <a:graphicFrameLocks noChangeAspect="1"/>
                  </wp:cNvGraphicFramePr>
                  <a:graphic>
                    <a:graphicData uri="http://schemas.openxmlformats.org/drawingml/2006/picture">
                      <pic:pic>
                        <pic:nvPicPr>
                          <pic:cNvPr id="132"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3" name=""/>
                  <wp:cNvGraphicFramePr>
                    <a:graphicFrameLocks noChangeAspect="1"/>
                  </wp:cNvGraphicFramePr>
                  <a:graphic>
                    <a:graphicData uri="http://schemas.openxmlformats.org/drawingml/2006/picture">
                      <pic:pic>
                        <pic:nvPicPr>
                          <pic:cNvPr id="134"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5" name=""/>
                  <wp:cNvGraphicFramePr>
                    <a:graphicFrameLocks noChangeAspect="1"/>
                  </wp:cNvGraphicFramePr>
                  <a:graphic>
                    <a:graphicData uri="http://schemas.openxmlformats.org/drawingml/2006/picture">
                      <pic:pic>
                        <pic:nvPicPr>
                          <pic:cNvPr id="136"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7" name=""/>
                  <wp:cNvGraphicFramePr>
                    <a:graphicFrameLocks noChangeAspect="1"/>
                  </wp:cNvGraphicFramePr>
                  <a:graphic>
                    <a:graphicData uri="http://schemas.openxmlformats.org/drawingml/2006/picture">
                      <pic:pic>
                        <pic:nvPicPr>
                          <pic:cNvPr id="138"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Measure</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Days fished in 2025, mean</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1.78 (1,834)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3.28 (357)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 ± 3.89 (336)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 ± 4.57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45.4 ± 5.86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3.06 (302)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21.1 ± 3.99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Days fished in 2025,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16.0/17.0/19.0 (1,834)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17.0/19.0/22.0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10.5/14.0/18.0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20.0/24.0/30.0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27.0/31.0/36.5 (280)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6.0/7.0/10.0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9.0/13.0/19.0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at least one tournament,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0.86 (1,908)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2.08 (360)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1.32 (346)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2.49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2.85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1.90 (309)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1.52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Hired a fishing guide,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1.38 (1,891)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3.67 (361)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2.67 (341)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4.43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3.48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2.90 (308)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4.12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from a motorized boat,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51.1 ± 2.54 (1,865)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57.4 ± 5.68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 ± 6.00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58.4 ± 6.33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57.1 ± 6.37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6.35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9.74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from a kayak or canoe,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 (1,865)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4.29 (359)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4.83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5.36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5.51 (280)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3.56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7.52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Ice fished,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 (1,865)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4.69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3.94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5.18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5.52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3.73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7.65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the Missouri River, Platte River, or other streams and rivers,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2.44 (1,858)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5.56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5.68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 ± 6.16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6.46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5.59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9.01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a water requiring a Park Entry Permit,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69.0 ± 2.33 (1,898)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68.3 ± 5.33 (361)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68.0 ± 5.53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71.2 ± 5.79 (289)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77.0 ± 5.37 (285)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55.7 ± 6.32 (307)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71.4 ± 8.90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Used private areas to fish or launch,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2.50 (1,553)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5.75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5.99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6.53 (249)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6.22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6.45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9.62 (99)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outside Nebraska,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2.51 (1,884)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47.5 ± 5.79 (352)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5.87 (342)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50.2 ± 6.43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54.9 ± 6.36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5.76 (307)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9.34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One-way miles to most visited water,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30/30/50 (342)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(117)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 fishing satisfaction, mean (1 = Very satisfied, 5 = Very dissatisfied)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0.06 (1,871)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0.13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0.12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(287)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0.15 (285)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(305)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0.19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Used live-imaging sonar,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1.78 (1,878)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4.17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3.96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4.72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5.25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3.40 (307)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6.31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Female,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2.06 (1,801)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4.42 (362)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5.33 (346)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4.24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4.49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4.99 (308)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8.92 (118)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Age, mean</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0.88 (1,777)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46.9 ± 1.80 (358)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1.96 (337)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2.05 (292)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1.94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52.4 ± 2.33 (302)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3.10 (117)</w:t>
            </w:r>
          </w:p>
        </w:tc>
      </w:tr>
    </w:tbl>
    <w:p>
      <w:pPr>
        <w:sectPr>
          <w:pgMar w:header="708" w:bottom="1417" w:top="1417" w:right="1417" w:left="1417" w:footer="708" w:gutter="0"/>
          <w:pgSz w:h="11906" w:w="16838" w:orient="landscape"/>
          <w:type w:val="nextPage"/>
          <w:cols/>
        </w:sectPr>
      </w:pPr>
    </w:p>
    <w:bookmarkEnd w:id="92"/>
    <w:bookmarkStart w:id="99" w:name="the-six-profiles"/>
    <w:p>
      <w:pPr>
        <w:pStyle w:val="Titre2"/>
      </w:pPr>
      <w:r>
        <w:t xml:space="preserve">The six profiles</w:t>
      </w:r>
    </w:p>
    <w:p>
      <w:pPr>
        <w:pStyle w:val="FirstParagraph"/>
      </w:pPr>
      <w:r>
        <w:t xml:space="preserve">The six profiles are listed below with the icon that marks each profile’s column in the tables of this chapter. Shares are weighted percentages of respondents; N is the number of respondents assigned to the profile.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Profile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Label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Share of 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39" name=""/>
                  <wp:cNvGraphicFramePr>
                    <a:graphicFrameLocks noChangeAspect="1"/>
                  </wp:cNvGraphicFramePr>
                  <a:graphic>
                    <a:graphicData uri="http://schemas.openxmlformats.org/drawingml/2006/picture">
                      <pic:pic>
                        <pic:nvPicPr>
                          <pic:cNvPr id="140" name=""/>
                          <pic:cNvPicPr>
                            <a:picLocks noChangeAspect="1" noChangeArrowheads="1"/>
                          </pic:cNvPicPr>
                        </pic:nvPicPr>
                        <pic:blipFill>
                          <a:blip r:embed="rId76"/>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harvest-minded, keep-it-simple angler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1" name=""/>
                  <wp:cNvGraphicFramePr>
                    <a:graphicFrameLocks noChangeAspect="1"/>
                  </wp:cNvGraphicFramePr>
                  <a:graphic>
                    <a:graphicData uri="http://schemas.openxmlformats.org/drawingml/2006/picture">
                      <pic:pic>
                        <pic:nvPicPr>
                          <pic:cNvPr id="142" name=""/>
                          <pic:cNvPicPr>
                            <a:picLocks noChangeAspect="1" noChangeArrowheads="1"/>
                          </pic:cNvPicPr>
                        </pic:nvPicPr>
                        <pic:blipFill>
                          <a:blip r:embed="rId77"/>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relaxed, catch-optional angler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3" name=""/>
                  <wp:cNvGraphicFramePr>
                    <a:graphicFrameLocks noChangeAspect="1"/>
                  </wp:cNvGraphicFramePr>
                  <a:graphic>
                    <a:graphicData uri="http://schemas.openxmlformats.org/drawingml/2006/picture">
                      <pic:pic>
                        <pic:nvPicPr>
                          <pic:cNvPr id="144" name=""/>
                          <pic:cNvPicPr>
                            <a:picLocks noChangeAspect="1" noChangeArrowheads="1"/>
                          </pic:cNvPicPr>
                        </pic:nvPicPr>
                        <pic:blipFill>
                          <a:blip r:embed="rId78"/>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regulation-savvy catch-and-release sport angler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5" name=""/>
                  <wp:cNvGraphicFramePr>
                    <a:graphicFrameLocks noChangeAspect="1"/>
                  </wp:cNvGraphicFramePr>
                  <a:graphic>
                    <a:graphicData uri="http://schemas.openxmlformats.org/drawingml/2006/picture">
                      <pic:pic>
                        <pic:nvPicPr>
                          <pic:cNvPr id="146" name=""/>
                          <pic:cNvPicPr>
                            <a:picLocks noChangeAspect="1" noChangeArrowheads="1"/>
                          </pic:cNvPicPr>
                        </pic:nvPicPr>
                        <pic:blipFill>
                          <a:blip r:embed="rId79"/>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all-in enthusiast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7" name=""/>
                  <wp:cNvGraphicFramePr>
                    <a:graphicFrameLocks noChangeAspect="1"/>
                  </wp:cNvGraphicFramePr>
                  <a:graphic>
                    <a:graphicData uri="http://schemas.openxmlformats.org/drawingml/2006/picture">
                      <pic:pic>
                        <pic:nvPicPr>
                          <pic:cNvPr id="148" name=""/>
                          <pic:cNvPicPr>
                            <a:picLocks noChangeAspect="1" noChangeArrowheads="1"/>
                          </pic:cNvPicPr>
                        </pic:nvPicPr>
                        <pic:blipFill>
                          <a:blip r:embed="rId80"/>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low-involvement angler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9" name=""/>
                  <wp:cNvGraphicFramePr>
                    <a:graphicFrameLocks noChangeAspect="1"/>
                  </wp:cNvGraphicFramePr>
                  <a:graphic>
                    <a:graphicData uri="http://schemas.openxmlformats.org/drawingml/2006/picture">
                      <pic:pic>
                        <pic:nvPicPr>
                          <pic:cNvPr id="150" name=""/>
                          <pic:cNvPicPr>
                            <a:picLocks noChangeAspect="1" noChangeArrowheads="1"/>
                          </pic:cNvPicPr>
                        </pic:nvPicPr>
                        <pic:blipFill>
                          <a:blip r:embed="rId81"/>
                          <a:srcRect/>
                          <a:stretch>
                            <a:fillRect/>
                          </a:stretch>
                        </pic:blipFill>
                        <pic:spPr bwMode="auto">
                          <a:xfrm>
                            <a:off x="0" y="0"/>
                            <a:ext cx="457200" cy="457200"/>
                          </a:xfrm>
                          <a:prstGeom prst="rect">
                            <a:avLst/>
                          </a:prstGeom>
                          <a:noFill/>
                        </pic:spPr>
                      </pic:pic>
                    </a:graphicData>
                  </a:graphic>
                </wp:inline>
              </w:drawing>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conservation-minded purist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w:t>
            </w:r>
          </w:p>
        </w:tc>
      </w:tr>
    </w:tbl>
    <w:p>
      <w:pPr>
        <w:pStyle w:val="Corpsdetexte"/>
      </w:pPr>
      <w:r>
        <w:t xml:space="preserve">The paragraphs below describe each profile by the scales on which it differs most from the Overall mean. Means are the weighted means in the profile means table; the figure after each mean is its distance from the Overall mean in standard deviations of the Overall weighted distribution (SD). Two scale names need a note: the Fishery resource motivation scale is made up of catch outcomes (competing for prizes, obtaining fish to eat, catching a trophy, the fun of catching), and the Simplification regulation scale measures agreement with uniform statewide regulations. Species shares are the row percentages from the profiles-by-preferred-species table at the end of this chapter, with their confidence intervals. The label and the closing picture in each paragraph are an interpretive summary of the eleven scale scores. They are not measured directly, and traits beyond those scales, such as how often or how an angler fishes, are not established by these data.</w:t>
      </w:r>
    </w:p>
    <w:p>
      <w:pPr>
        <w:pStyle w:val="Corpsdetexte"/>
      </w:pPr>
      <w:r>
        <w:t xml:space="preserve">The second paragraph for each profile compares it with the Overall column on the other survey questions in the table above; the values quoted are from that table, and its confidence intervals show that several of the differences described are small relative to their precision. Where a family group makes up at least 5 percentage points more of a profile than of all assigned respondents, the paragraph names it, unless its row is below the effective-N floor and therefore not shown, because questions that vary by species may partly reflect that mix rather than the profile itself.</w:t>
      </w:r>
    </w:p>
    <w:bookmarkStart w:id="93" w:name="Xc0fd8528f800c1d1d977a19a4150be6484941ea"/>
    <w:p>
      <w:pPr>
        <w:pStyle w:val="Titre3"/>
      </w:pPr>
      <w:r>
        <w:t xml:space="preserve">Class 1: The harvest-minded, keep-it-simple angler</w:t>
      </w:r>
    </w:p>
    <w:p>
      <w:pPr>
        <w:jc w:val="center"/>
        <w:pStyle w:val="Figure"/>
      </w:pPr>
      <w:r>
        <w:rPr/>
        <w:drawing>
          <wp:inline distT="0" distB="0" distL="0" distR="0">
            <wp:extent cx="5943600" cy="3246120"/>
            <wp:docPr id="151" name="" descr=""/>
            <wp:cNvGraphicFramePr>
              <a:graphicFrameLocks noChangeAspect="1"/>
            </wp:cNvGraphicFramePr>
            <a:graphic>
              <a:graphicData uri="http://schemas.openxmlformats.org/drawingml/2006/picture">
                <pic:pic>
                  <pic:nvPicPr>
                    <pic:cNvPr id="152" name=""/>
                    <pic:cNvPicPr>
                      <a:picLocks noChangeAspect="1" noChangeArrowheads="1"/>
                    </pic:cNvPicPr>
                  </pic:nvPicPr>
                  <pic:blipFill>
                    <a:blip r:embed="rId82"/>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1: The harvest-minded, keep-it-simple angler</w:t>
      </w:r>
    </w:p>
    <w:p>
      <w:pPr>
        <w:pStyle w:val="Corpsdetexte"/>
      </w:pPr>
      <w:r>
        <w:t xml:space="preserve">Class 1 holds 18.3% of respondents (n = 362). It has the highest harvest score of any profile (2.8, +0.75 SD) and is above average on needing to catch something (3.4) and on catching many fish (3.6). Size matters no more than average (3.3), and its motivations sit near the Overall means. What sets it apart is regulations: it reports the least comprehension of the rules (2.8, -0.87 SD), the least support for site-specific rules (3.3), and the strongest preference for uniform statewide rules (3.6, +0.59 SD). Picture someone who fishes for a meal, measures a trip by what goes in the cooler, and finds a patchwork of lake-specific rules confusing. Class 1 makes up 26.3% ± 4.3 of Walleye / Sauger, 25.2% ± 7.1 of Crappie and 23.0% ± 6.0 of Panfish / Sunfish anglers, against 18.3% overall.</w:t>
      </w:r>
    </w:p>
    <w:p>
      <w:pPr>
        <w:pStyle w:val="Corpsdetexte"/>
      </w:pPr>
      <w:r>
        <w:t xml:space="preserve">On the other survey questions, Class 1 fishes about as often as anglers overall (mean days 28.6, against 30.2 overall). It is more likely than average to have hired a guide (11.6%, against 8.1% overall), to have ice fished (21.2%, against 17.7% overall) and to have fished from a motorized boat (57.4%, against 51.1% overall). It reports the lowest overall satisfaction of any profile (mean 2.6, against 2.3 overall, where higher means less satisfied). Its species mix leans toward Walleye / Sauger (34.1% of the profile, against 24.3% of all assigned respondents), so differences on questions that vary by species may partly reflect that mix rather than the profile itself.</w:t>
      </w:r>
    </w:p>
    <w:bookmarkEnd w:id="93"/>
    <w:bookmarkStart w:id="94" w:name="Xa8c41db140c6eca67601616ab9b133a568ff22d"/>
    <w:p>
      <w:pPr>
        <w:pStyle w:val="Titre3"/>
      </w:pPr>
      <w:r>
        <w:t xml:space="preserve">Class 2: The relaxed, catch-optional angler</w:t>
      </w:r>
    </w:p>
    <w:p>
      <w:pPr>
        <w:jc w:val="center"/>
        <w:pStyle w:val="Figure"/>
      </w:pPr>
      <w:r>
        <w:rPr/>
        <w:drawing>
          <wp:inline distT="0" distB="0" distL="0" distR="0">
            <wp:extent cx="5943600" cy="3246120"/>
            <wp:docPr id="153" name="" descr=""/>
            <wp:cNvGraphicFramePr>
              <a:graphicFrameLocks noChangeAspect="1"/>
            </wp:cNvGraphicFramePr>
            <a:graphic>
              <a:graphicData uri="http://schemas.openxmlformats.org/drawingml/2006/picture">
                <pic:pic>
                  <pic:nvPicPr>
                    <pic:cNvPr id="154" name=""/>
                    <pic:cNvPicPr>
                      <a:picLocks noChangeAspect="1" noChangeArrowheads="1"/>
                    </pic:cNvPicPr>
                  </pic:nvPicPr>
                  <pic:blipFill>
                    <a:blip r:embed="rId83"/>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2: The relaxed, catch-optional angler</w:t>
      </w:r>
    </w:p>
    <w:p>
      <w:pPr>
        <w:pStyle w:val="Corpsdetexte"/>
      </w:pPr>
      <w:r>
        <w:t xml:space="preserve">Class 2 holds 16.7% of respondents (n = 347). It is below average on all four catch attitudes: catch something 2.2, numbers 2.5, size 2.8, harvest 2.0. Its lowest motivation is catch outcomes (2.2, -0.52 SD), while the outdoors (3.8) and social (3.8) motivations run slightly above average. Its regulation scores are middling, with a slight lean toward uniform rules (3.3). Picture someone who goes for the day out, the company and the water, and for whom a fishless trip is not a failed trip. Class 2 makes up 25.2% ± 5.2 of No preference and 22.6% ± 9.8 of Trout anglers, against 16.7% overall.</w:t>
      </w:r>
    </w:p>
    <w:p>
      <w:pPr>
        <w:pStyle w:val="Corpsdetexte"/>
      </w:pPr>
      <w:r>
        <w:t xml:space="preserve">On the other survey questions, Class 2 fishes less often than average (median days 14.0, against 17.0 overall) and seldom fishes tournaments (1.3%, against 3.0% overall). It ice fishes less often than average (12.3%, against 17.7% overall) and is more satisfied than average (mean 2.1, against 2.3 overall). Together with Class 6 it has the highest share of women of any profile (28.2%, and 28.1% in Class 6, against 19.5% overall). Its species mix leans toward No preference (27.0% of the profile, against 17.7% of all assigned respondents), so differences on questions that vary by species may partly reflect that mix rather than the profile itself.</w:t>
      </w:r>
    </w:p>
    <w:bookmarkEnd w:id="94"/>
    <w:bookmarkStart w:id="95" w:name="Xe396c5be7e9d2f3f9e19200ee61fcb908f936b9"/>
    <w:p>
      <w:pPr>
        <w:pStyle w:val="Titre3"/>
      </w:pPr>
      <w:r>
        <w:t xml:space="preserve">Class 3: The regulation-savvy catch-and-release sport angler</w:t>
      </w:r>
    </w:p>
    <w:p>
      <w:pPr>
        <w:jc w:val="center"/>
        <w:pStyle w:val="Figure"/>
      </w:pPr>
      <w:r>
        <w:rPr/>
        <w:drawing>
          <wp:inline distT="0" distB="0" distL="0" distR="0">
            <wp:extent cx="5943600" cy="3246120"/>
            <wp:docPr id="155" name="" descr=""/>
            <wp:cNvGraphicFramePr>
              <a:graphicFrameLocks noChangeAspect="1"/>
            </wp:cNvGraphicFramePr>
            <a:graphic>
              <a:graphicData uri="http://schemas.openxmlformats.org/drawingml/2006/picture">
                <pic:pic>
                  <pic:nvPicPr>
                    <pic:cNvPr id="156" name=""/>
                    <pic:cNvPicPr>
                      <a:picLocks noChangeAspect="1" noChangeArrowheads="1"/>
                    </pic:cNvPicPr>
                  </pic:nvPicPr>
                  <pic:blipFill>
                    <a:blip r:embed="rId84"/>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3: The regulation-savvy catch-and-release sport angler</w:t>
      </w:r>
    </w:p>
    <w:p>
      <w:pPr>
        <w:pStyle w:val="Corpsdetexte"/>
      </w:pPr>
      <w:r>
        <w:t xml:space="preserve">Class 3 holds 15.9% of respondents (n = 292). It is above average on size (3.7, +0.56 SD) and on needing a catch (3.1), but below average on harvest (1.9): it wants a fish on the line, preferably a good one, and then lets it go. Its motivations are at or slightly below average (social 3.3, -0.39 SD). It is strongly engaged with regulations, with high comprehension (4.2, +0.71 SD), high support for site-specific rules (4.5, +0.76 SD), and a low preference for uniform rules (2.5, -0.68 SD). Picture an angler, often a bass angler, who reads the regulations and values rules tailored to each lake. Class 3 makes up 23.0% ± 4.8 of Bass, 24.0% ± 5.2 of Largemouth bass and 24.1% ± 13.1 of Flathead catfish anglers, against 15.9% overall.</w:t>
      </w:r>
    </w:p>
    <w:p>
      <w:pPr>
        <w:pStyle w:val="Corpsdetexte"/>
      </w:pPr>
      <w:r>
        <w:t xml:space="preserve">On the other survey questions, Class 3 fishes more often than average (mean days 35.6, against 30.2 overall; median 24.0, against 17.0 overall). It has the highest rate of hiring a guide of any profile (13.9%, against 8.1% overall) and the highest use of private areas (35.0%, against 28.6% overall); its tournament participation is close to the overall rate (4.0%, against 3.0% overall). Its median distance to its most visited water is 16 miles, against 30 overall, and it has the lowest share of women of any profile (12.7%, against 19.5% overall). Its species mix leans toward Bass (30.0% of the profile, against 21.0% of all assigned respondents), so differences on questions that vary by species may partly reflect that mix rather than the profile itself.</w:t>
      </w:r>
    </w:p>
    <w:bookmarkEnd w:id="95"/>
    <w:bookmarkStart w:id="96" w:name="class-4-the-all-in-enthusiast"/>
    <w:p>
      <w:pPr>
        <w:pStyle w:val="Titre3"/>
      </w:pPr>
      <w:r>
        <w:t xml:space="preserve">Class 4: The all-in enthusiast</w:t>
      </w:r>
    </w:p>
    <w:p>
      <w:pPr>
        <w:jc w:val="center"/>
        <w:pStyle w:val="Figure"/>
      </w:pPr>
      <w:r>
        <w:rPr/>
        <w:drawing>
          <wp:inline distT="0" distB="0" distL="0" distR="0">
            <wp:extent cx="5943600" cy="3246120"/>
            <wp:docPr id="157" name="" descr=""/>
            <wp:cNvGraphicFramePr>
              <a:graphicFrameLocks noChangeAspect="1"/>
            </wp:cNvGraphicFramePr>
            <a:graphic>
              <a:graphicData uri="http://schemas.openxmlformats.org/drawingml/2006/picture">
                <pic:pic>
                  <pic:nvPicPr>
                    <pic:cNvPr id="158" name=""/>
                    <pic:cNvPicPr>
                      <a:picLocks noChangeAspect="1" noChangeArrowheads="1"/>
                    </pic:cNvPicPr>
                  </pic:nvPicPr>
                  <pic:blipFill>
                    <a:blip r:embed="rId85"/>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4: The all-in enthusiast</w:t>
      </w:r>
    </w:p>
    <w:p>
      <w:pPr>
        <w:pStyle w:val="Corpsdetexte"/>
      </w:pPr>
      <w:r>
        <w:t xml:space="preserve">Class 4 holds 18.2% of respondents (n = 286). It has the highest score of any profile on all four motivations: challenge and relaxation (4.2, +1.15 SD), outdoors (4.5, +1.04 SD), social (4.4, +0.98 SD), and catch outcomes (3.2, +1.05 SD). It is also the most size-oriented profile (3.9, +0.74 SD) and is above average on numbers (3.5), with average scores on needing a catch (2.7) and on harvest (2.1). Its support for site-specific rules is above average (4.1). The catch-outcomes scale, on which no other profile scores as high, includes competing for prizes or money. Picture the angler for whom fishing is a central hobby: every reason to go matters, trophies and tournament competition included. Class 4 makes up 33.8% ± 15.7 of Smallmouth bass anglers, against 18.2% overall.</w:t>
      </w:r>
    </w:p>
    <w:p>
      <w:pPr>
        <w:pStyle w:val="Corpsdetexte"/>
      </w:pPr>
      <w:r>
        <w:t xml:space="preserve">On the other survey questions, Class 4 is the most active profile and the one most likely to fish tournaments (5.3%, against 3.0% overall), although tournament anglers remain a small share of it. It has the highest mean days fished (45.4, against 30.2 overall) and median days fished (31.0, against 17.0 overall), and the highest rates of any profile for using a kayak or canoe (24.2%, against 17.7% overall), ice fishing (24.3%, against 17.7% overall), fishing rivers and streams (47.4%, against 36.0% overall), fishing waters that require a Park Entry Permit (77.0%, against 69.0% overall), fishing outside Nebraska (54.9%, against 44.1% overall) and using live-imaging sonar (21.4%, against 14.5% overall). It is also the youngest profile (mean age 39.2, against 46.0 overall).</w:t>
      </w:r>
    </w:p>
    <w:bookmarkEnd w:id="96"/>
    <w:bookmarkStart w:id="97" w:name="class-5-the-low-involvement-angler"/>
    <w:p>
      <w:pPr>
        <w:pStyle w:val="Titre3"/>
      </w:pPr>
      <w:r>
        <w:t xml:space="preserve">Class 5: The low-involvement angler</w:t>
      </w:r>
    </w:p>
    <w:p>
      <w:pPr>
        <w:jc w:val="center"/>
        <w:pStyle w:val="Figure"/>
      </w:pPr>
      <w:r>
        <w:rPr/>
        <w:drawing>
          <wp:inline distT="0" distB="0" distL="0" distR="0">
            <wp:extent cx="5943600" cy="3246120"/>
            <wp:docPr id="159" name="" descr=""/>
            <wp:cNvGraphicFramePr>
              <a:graphicFrameLocks noChangeAspect="1"/>
            </wp:cNvGraphicFramePr>
            <a:graphic>
              <a:graphicData uri="http://schemas.openxmlformats.org/drawingml/2006/picture">
                <pic:pic>
                  <pic:nvPicPr>
                    <pic:cNvPr id="160" name=""/>
                    <pic:cNvPicPr>
                      <a:picLocks noChangeAspect="1" noChangeArrowheads="1"/>
                    </pic:cNvPicPr>
                  </pic:nvPicPr>
                  <pic:blipFill>
                    <a:blip r:embed="rId86"/>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5: The low-involvement angler</w:t>
      </w:r>
    </w:p>
    <w:p>
      <w:pPr>
        <w:pStyle w:val="Corpsdetexte"/>
      </w:pPr>
      <w:r>
        <w:t xml:space="preserve">Class 5 holds 13.4% of respondents (n = 311). It has the lowest score of any profile on all four motivations: challenge and relaxation (2.2, -1.33 SD), outdoors (2.6, -1.37 SD), social (2.6, -1.22 SD), and catch outcomes (1.9, -0.92 SD). It is near average on needing a catch (2.9) and on harvest (2.3), below average on numbers (2.9, -0.27 SD) and size (2.9, -0.50 SD), and close to average on the three regulation scales. Picture a licence holder for whom fishing is incidental rather than a pursuit in its own right. Uniformly low importance ratings can also reflect how a respondent uses the rating scale. Class 5 makes up 19.7% ± 4.7 of No preference anglers, against 13.4% overall.</w:t>
      </w:r>
    </w:p>
    <w:p>
      <w:pPr>
        <w:pStyle w:val="Corpsdetexte"/>
      </w:pPr>
      <w:r>
        <w:t xml:space="preserve">On the other survey questions, Class 5 is the least active profile. It has the lowest mean days fished (17.4, against 30.2 overall) and median days fished (7.0, against 17.0 overall), and the lowest rates of any profile for using a kayak or canoe (8.4%, against 17.7% overall), ice fishing (9.4%, against 17.7% overall), fishing rivers and streams (25.4%, against 36.0% overall), fishing waters that require a Park Entry Permit (55.7%, against 69.0% overall), fishing outside Nebraska (28.9%, against 44.1% overall) and using live-imaging sonar (7.7%, against 14.5% overall). It is the oldest profile (mean age 52.4, against 46.0 overall). Its species mix leans toward No preference (26.3% of the profile, against 17.7% of all assigned respondents), so differences on questions that vary by species may partly reflect that mix rather than the profile itself.</w:t>
      </w:r>
    </w:p>
    <w:bookmarkEnd w:id="97"/>
    <w:bookmarkStart w:id="98" w:name="class-6-the-conservation-minded-purist"/>
    <w:p>
      <w:pPr>
        <w:pStyle w:val="Titre3"/>
      </w:pPr>
      <w:r>
        <w:t xml:space="preserve">Class 6: The conservation-minded purist</w:t>
      </w:r>
    </w:p>
    <w:p>
      <w:pPr>
        <w:jc w:val="center"/>
        <w:pStyle w:val="Figure"/>
      </w:pPr>
      <w:r>
        <w:rPr/>
        <w:drawing>
          <wp:inline distT="0" distB="0" distL="0" distR="0">
            <wp:extent cx="5943600" cy="3246120"/>
            <wp:docPr id="161" name="" descr=""/>
            <wp:cNvGraphicFramePr>
              <a:graphicFrameLocks noChangeAspect="1"/>
            </wp:cNvGraphicFramePr>
            <a:graphic>
              <a:graphicData uri="http://schemas.openxmlformats.org/drawingml/2006/picture">
                <pic:pic>
                  <pic:nvPicPr>
                    <pic:cNvPr id="162" name=""/>
                    <pic:cNvPicPr>
                      <a:picLocks noChangeAspect="1" noChangeArrowheads="1"/>
                    </pic:cNvPicPr>
                  </pic:nvPicPr>
                  <pic:blipFill>
                    <a:blip r:embed="rId87"/>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6: The conservation-minded purist</w:t>
      </w:r>
    </w:p>
    <w:p>
      <w:pPr>
        <w:pStyle w:val="Corpsdetexte"/>
      </w:pPr>
      <w:r>
        <w:t xml:space="preserve">Class 6 holds 6.0% of respondents (n = 120), the smallest profile. It has the lowest score of any profile on all four catch attitudes: catch something 1.8, numbers 1.9 (-1.58 SD), size 2.4, harvest 1.6; catching and keeping fish are close to irrelevant to it. It is motivated by the outdoors (4.1) and by social reasons (3.9) but not by catch outcomes (2.1). It has the highest comprehension of the rules (4.5) and support for site-specific rules (4.7) of any profile, and the lowest preference for uniform rules (2.4). Picture someone who values the experience and well-managed waters over the catch. Class 6 makes up 1.7% ± 1.3 of Walleye / Sauger anglers, its smallest share of any displayed family group; its largest share of any displayed row is 13.8% ± 11.5 of Bluegill / Sunfish anglers.</w:t>
      </w:r>
    </w:p>
    <w:p>
      <w:pPr>
        <w:pStyle w:val="Corpsdetexte"/>
      </w:pPr>
      <w:r>
        <w:t xml:space="preserve">On the other survey questions, Class 6 fishes less often than average (median days 13.0, against 17.0 overall) and has the lowest rates of any profile for fishing tournaments (0.6%, against 3.0% overall), hiring a guide (4.6%, against 8.1% overall) and fishing from a motorized boat (40.6%, against 51.1% overall). Its median distance to its most visited water is 16 miles, against 30 overall. It reports the highest overall satisfaction of any profile (mean 1.7, against 2.3 overall, where lower means more satisfied), and, with Class 2, the highest share of women (28.1%, against 19.5% overall). With 120 respondents it is the smallest profile, and most of its intervals in the table are correspondingly wide. Its species mix leans toward No preference (28.2% of the profile, against 17.7% of all assigned respondents), Panfish / Sunfish (17.9% of the profile, against 10.7% of all assigned respondents), and Bass (26.5% of the profile, against 21.0% of all assigned respondents), so differences on questions that vary by species may partly reflect that mix rather than the profile itself.</w:t>
      </w:r>
    </w:p>
    <w:p>
      <w:pPr>
        <w:sectPr>
          <w:pgMar w:header="708" w:bottom="1417" w:top="1417" w:right="1417" w:left="1417" w:footer="708" w:gutter="0"/>
          <w:pgSz w:h="16838" w:w="11906" w:orient="portrait"/>
          <w:type w:val="nextPage"/>
          <w:cols/>
        </w:sectPr>
      </w:pPr>
    </w:p>
    <w:bookmarkEnd w:id="98"/>
    <w:bookmarkEnd w:id="99"/>
    <w:bookmarkStart w:id="100" w:name="profiles-by-preferred-species"/>
    <w:p>
      <w:pPr>
        <w:pStyle w:val="Titre2"/>
      </w:pPr>
      <w:r>
        <w:t xml:space="preserve">Profiles by preferred species</w:t>
      </w:r>
    </w:p>
    <w:p>
      <w:pPr>
        <w:pStyle w:val="FirstParagraph"/>
      </w:pPr>
      <w:r>
        <w:t xml:space="preserve">The table below gives, for each preferred-species row, the weighted percentage of its respondents assigned to each profile, with Unassigned as a column so that each row sums to 100. The rows overlap, as elsewhere in this report, and must not be totalled. Where a row has no respondents in a profile, the percentage is 0.0 and the interval has zero width. Preferred-species rows below the effective-N floor of 30 are not shown (3 rows): Wiper (35 respondents, effective N 28.6); White bass (39 respondents, effective N 29.8); Northern pike (32 respondents, effective N 26.9). Their respondents are included in the model fit and in the Overall row. This is the only chapter of the report that withholds rows; the effective-N floor was set before the model was fitted.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63" name=""/>
                  <wp:cNvGraphicFramePr>
                    <a:graphicFrameLocks noChangeAspect="1"/>
                  </wp:cNvGraphicFramePr>
                  <a:graphic>
                    <a:graphicData uri="http://schemas.openxmlformats.org/drawingml/2006/picture">
                      <pic:pic>
                        <pic:nvPicPr>
                          <pic:cNvPr id="164" name=""/>
                          <pic:cNvPicPr>
                            <a:picLocks noChangeAspect="1" noChangeArrowheads="1"/>
                          </pic:cNvPicPr>
                        </pic:nvPicPr>
                        <pic:blipFill>
                          <a:blip r:embed="rId76"/>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65" name=""/>
                  <wp:cNvGraphicFramePr>
                    <a:graphicFrameLocks noChangeAspect="1"/>
                  </wp:cNvGraphicFramePr>
                  <a:graphic>
                    <a:graphicData uri="http://schemas.openxmlformats.org/drawingml/2006/picture">
                      <pic:pic>
                        <pic:nvPicPr>
                          <pic:cNvPr id="166" name=""/>
                          <pic:cNvPicPr>
                            <a:picLocks noChangeAspect="1" noChangeArrowheads="1"/>
                          </pic:cNvPicPr>
                        </pic:nvPicPr>
                        <pic:blipFill>
                          <a:blip r:embed="rId77"/>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67" name=""/>
                  <wp:cNvGraphicFramePr>
                    <a:graphicFrameLocks noChangeAspect="1"/>
                  </wp:cNvGraphicFramePr>
                  <a:graphic>
                    <a:graphicData uri="http://schemas.openxmlformats.org/drawingml/2006/picture">
                      <pic:pic>
                        <pic:nvPicPr>
                          <pic:cNvPr id="168"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69" name=""/>
                  <wp:cNvGraphicFramePr>
                    <a:graphicFrameLocks noChangeAspect="1"/>
                  </wp:cNvGraphicFramePr>
                  <a:graphic>
                    <a:graphicData uri="http://schemas.openxmlformats.org/drawingml/2006/picture">
                      <pic:pic>
                        <pic:nvPicPr>
                          <pic:cNvPr id="170"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71" name=""/>
                  <wp:cNvGraphicFramePr>
                    <a:graphicFrameLocks noChangeAspect="1"/>
                  </wp:cNvGraphicFramePr>
                  <a:graphic>
                    <a:graphicData uri="http://schemas.openxmlformats.org/drawingml/2006/picture">
                      <pic:pic>
                        <pic:nvPicPr>
                          <pic:cNvPr id="172"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73" name=""/>
                  <wp:cNvGraphicFramePr>
                    <a:graphicFrameLocks noChangeAspect="1"/>
                  </wp:cNvGraphicFramePr>
                  <a:graphic>
                    <a:graphicData uri="http://schemas.openxmlformats.org/drawingml/2006/picture">
                      <pic:pic>
                        <pic:nvPicPr>
                          <pic:cNvPr id="174"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Unassigned</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1.87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1.19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1.60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4.30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 ± 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12.22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15.72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12.01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8.18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10.99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7.09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4.82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13.13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5.98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4.87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11.25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11.80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8.43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7.74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3.69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5.16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3.72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3.75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4.72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3.47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3.95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r>
    </w:tbl>
    <w:p>
      <w:pPr>
        <w:pStyle w:val="Corpsdetexte"/>
      </w:pPr>
      <w:r>
        <w:t xml:space="preserve">The figure below shows the profile makeup of each family group against the Overall share of each profile. Unassigned respondents, between 9.5 and 17.0 percent of each family group, are not shown, so the bars in a panel sum to less than 100. Wiper, White bass, and Northern pike are reported as individual species because their families were not combined, and are not in the figure.</w:t>
      </w:r>
    </w:p>
    <w:p>
      <w:pPr>
        <w:jc w:val="center"/>
        <w:pStyle w:val="Figure"/>
      </w:pPr>
      <w:r>
        <w:rPr/>
        <w:drawing>
          <wp:inline distT="0" distB="0" distL="0" distR="0">
            <wp:extent cx="8229600" cy="5029200"/>
            <wp:docPr id="175" name="" descr=""/>
            <wp:cNvGraphicFramePr>
              <a:graphicFrameLocks noChangeAspect="1"/>
            </wp:cNvGraphicFramePr>
            <a:graphic>
              <a:graphicData uri="http://schemas.openxmlformats.org/drawingml/2006/picture">
                <pic:pic>
                  <pic:nvPicPr>
                    <pic:cNvPr id="176" name=""/>
                    <pic:cNvPicPr>
                      <a:picLocks noChangeAspect="1" noChangeArrowheads="1"/>
                    </pic:cNvPicPr>
                  </pic:nvPicPr>
                  <pic:blipFill>
                    <a:blip r:embed="rId88"/>
                    <a:stretch>
                      <a:fillRect/>
                    </a:stretch>
                  </pic:blipFill>
                  <pic:spPr bwMode="auto">
                    <a:xfrm>
                      <a:off x="0" y="0"/>
                      <a:ext cx="8229600" cy="5029200"/>
                    </a:xfrm>
                    <a:prstGeom prst="rect">
                      <a:avLst/>
                    </a:prstGeom>
                    <a:noFill/>
                  </pic:spPr>
                </pic:pic>
              </a:graphicData>
            </a:graphic>
          </wp:inline>
        </w:drawing>
      </w:r>
    </w:p>
    <w:bookmarkEnd w:id="100"/>
    <w:bookmarkStart w:id="101" w:name="profile-makeup-of-family-group-anglers"/>
    <w:p>
      <w:pPr>
        <w:pStyle w:val="Titre2"/>
      </w:pPr>
      <w:r>
        <w:t xml:space="preserve">Profile makeup of family-group anglers</w:t>
      </w:r>
    </w:p>
    <w:p>
      <w:pPr>
        <w:pStyle w:val="FirstParagraph"/>
      </w:pPr>
      <w:r>
        <w:t xml:space="preserve">Every family group contains anglers of all six profiles. No family group is dominated by a single profile; the largest share of any profile in any family group is Class 1 among Walleye / Sauger anglers (26.3% ± 4.3). Managing for any one species therefore means serving a mix of angler types, and the differences described in the cards below are differences of emphasis rather than of kind. Each card shows one family group’s weighted percentage in each profile, with 95 percent confidence intervals, on a common scale; the icons along the bottom mark the profiles, and the dashed mark is the Overall share of that profile.</w:t>
      </w:r>
    </w:p>
    <w:tbl xmlns:w14="http://schemas.microsoft.com/office/word/2010/wordml">
      <w:tblPr>
        <w:tblLayout w:type="fixed"/>
        <w:jc w:val="start"/>
        <w:tblLook w:firstRow="1" w:lastRow="0" w:firstColumn="0" w:lastColumn="0" w:noHBand="0" w:noVBand="1"/>
      </w:tblPr>
      <w:tblGrid>
        <w:gridCol w:w="5904"/>
        <w:gridCol w:w="7056"/>
      </w:tblGrid>
      <w:tr>
        <w:trPr>
          <w:trHeight w:val="360" w:hRule="auto"/>
          <w:tblHeader/>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Walleye / Sauger</w:t>
            </w:r>
          </w:p>
        </w:tc>
      </w:tr>
      <w:tr>
        <w:trPr>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77" name=""/>
                  <wp:cNvGraphicFramePr>
                    <a:graphicFrameLocks noChangeAspect="1"/>
                  </wp:cNvGraphicFramePr>
                  <a:graphic>
                    <a:graphicData uri="http://schemas.openxmlformats.org/drawingml/2006/picture">
                      <pic:pic>
                        <pic:nvPicPr>
                          <pic:cNvPr id="178" name=""/>
                          <pic:cNvPicPr>
                            <a:picLocks noChangeAspect="1" noChangeArrowheads="1"/>
                          </pic:cNvPicPr>
                        </pic:nvPicPr>
                        <pic:blipFill>
                          <a:blip r:embed="rId89"/>
                          <a:srcRect/>
                          <a:stretch>
                            <a:fillRect/>
                          </a:stretch>
                        </pic:blipFill>
                        <pic:spPr bwMode="auto">
                          <a:xfrm>
                            <a:off x="0" y="0"/>
                            <a:ext cx="3657600" cy="2560320"/>
                          </a:xfrm>
                          <a:prstGeom prst="rect">
                            <a:avLst/>
                          </a:prstGeom>
                          <a:noFill/>
                        </pic:spPr>
                      </pic:pic>
                    </a:graphicData>
                  </a:graphic>
                </wp:inline>
              </w:drawing>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Walleye / Sauger anglers, the largest family group (n = 499), lean toward Class 1, the harvest-minded, keep-it-simple angler (26.3% ± 4.3 against 18.3% overall), and include very few Class 6 purists (1.7% ± 1.3 against 6.0% overall). For walleye management this points to a constituency for whom harvest opportunity matters and for whom waterbody-specific length and bag limits may be a source of confusion; clear, consistent regulations and plain-language communication of any lake-specific rules are likely to matter as much as the rules themselves.</w:t>
            </w:r>
          </w:p>
        </w:tc>
      </w:tr>
    </w:tbl>
    <w:tbl xmlns:w14="http://schemas.microsoft.com/office/word/2010/wordml">
      <w:tblPr>
        <w:tblLayout w:type="fixed"/>
        <w:jc w:val="start"/>
        <w:tblLook w:firstRow="1" w:lastRow="0" w:firstColumn="0" w:lastColumn="0" w:noHBand="0" w:noVBand="1"/>
      </w:tblPr>
      <w:tblGrid>
        <w:gridCol w:w="7056"/>
        <w:gridCol w:w="5904"/>
      </w:tblGrid>
      <w:tr>
        <w:trPr>
          <w:trHeight w:val="360" w:hRule="auto"/>
          <w:tblHeader/>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Bass</w:t>
            </w:r>
          </w:p>
        </w:tc>
      </w:tr>
      <w:tr>
        <w:trPr>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Bass anglers (n = 357) show the opposite regulatory lean to Walleye / Sauger anglers. Class 3, the regulation-savvy catch-and-release angler, is their largest profile (23.0% ± 4.8 against 15.9% overall), and Class 1 is less common among them (12.5% ± 3.8 against 18.3% overall). This is the family group whose makeup most favours understanding and supporting site-specific rules, which suggests bass anglers are a receptive audience for special length limits or catch-and-release rules tailored to individual waters.</w:t>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79" name=""/>
                  <wp:cNvGraphicFramePr>
                    <a:graphicFrameLocks noChangeAspect="1"/>
                  </wp:cNvGraphicFramePr>
                  <a:graphic>
                    <a:graphicData uri="http://schemas.openxmlformats.org/drawingml/2006/picture">
                      <pic:pic>
                        <pic:nvPicPr>
                          <pic:cNvPr id="180" name=""/>
                          <pic:cNvPicPr>
                            <a:picLocks noChangeAspect="1" noChangeArrowheads="1"/>
                          </pic:cNvPicPr>
                        </pic:nvPicPr>
                        <pic:blipFill>
                          <a:blip r:embed="rId90"/>
                          <a:srcRect/>
                          <a:stretch>
                            <a:fillRect/>
                          </a:stretch>
                        </pic:blipFill>
                        <pic:spPr bwMode="auto">
                          <a:xfrm>
                            <a:off x="0" y="0"/>
                            <a:ext cx="3657600" cy="2560320"/>
                          </a:xfrm>
                          <a:prstGeom prst="rect">
                            <a:avLst/>
                          </a:prstGeom>
                          <a:noFill/>
                        </pic:spPr>
                      </pic:pic>
                    </a:graphicData>
                  </a:graphic>
                </wp:inline>
              </w:drawing>
            </w:r>
          </w:p>
        </w:tc>
      </w:tr>
    </w:tbl>
    <w:tbl xmlns:w14="http://schemas.microsoft.com/office/word/2010/wordml">
      <w:tblPr>
        <w:tblLayout w:type="fixed"/>
        <w:jc w:val="start"/>
        <w:tblLook w:firstRow="1" w:lastRow="0" w:firstColumn="0" w:lastColumn="0" w:noHBand="0" w:noVBand="1"/>
      </w:tblPr>
      <w:tblGrid>
        <w:gridCol w:w="5904"/>
        <w:gridCol w:w="7056"/>
      </w:tblGrid>
      <w:tr>
        <w:trPr>
          <w:trHeight w:val="360" w:hRule="auto"/>
          <w:tblHeader/>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Panfish / Sunfish</w:t>
            </w:r>
          </w:p>
        </w:tc>
      </w:tr>
      <w:tr>
        <w:trPr>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1" name=""/>
                  <wp:cNvGraphicFramePr>
                    <a:graphicFrameLocks noChangeAspect="1"/>
                  </wp:cNvGraphicFramePr>
                  <a:graphic>
                    <a:graphicData uri="http://schemas.openxmlformats.org/drawingml/2006/picture">
                      <pic:pic>
                        <pic:nvPicPr>
                          <pic:cNvPr id="182" name=""/>
                          <pic:cNvPicPr>
                            <a:picLocks noChangeAspect="1" noChangeArrowheads="1"/>
                          </pic:cNvPicPr>
                        </pic:nvPicPr>
                        <pic:blipFill>
                          <a:blip r:embed="rId91"/>
                          <a:srcRect/>
                          <a:stretch>
                            <a:fillRect/>
                          </a:stretch>
                        </pic:blipFill>
                        <pic:spPr bwMode="auto">
                          <a:xfrm>
                            <a:off x="0" y="0"/>
                            <a:ext cx="3657600" cy="2560320"/>
                          </a:xfrm>
                          <a:prstGeom prst="rect">
                            <a:avLst/>
                          </a:prstGeom>
                          <a:noFill/>
                        </pic:spPr>
                      </pic:pic>
                    </a:graphicData>
                  </a:graphic>
                </wp:inline>
              </w:drawing>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Panfish / Sunfish anglers (n = 236) combine two contrasting profiles: Class 1 harvest-minded anglers (23.0% ± 6.0 against 18.3% overall) and Class 6 conservation-minded purists (10.0% ± 4.3 against 6.0% overall) are both more common than overall, while Class 2 is less common (10.4% ± 4.4 against 16.7% overall). Panfish management may therefore need to balance harvest opportunity for the larger group with the experience-focused, rules-engaged values of the smaller one.</w:t>
            </w:r>
          </w:p>
        </w:tc>
      </w:tr>
    </w:tbl>
    <w:tbl xmlns:w14="http://schemas.microsoft.com/office/word/2010/wordml">
      <w:tblPr>
        <w:tblLayout w:type="fixed"/>
        <w:jc w:val="start"/>
        <w:tblLook w:firstRow="1" w:lastRow="0" w:firstColumn="0" w:lastColumn="0" w:noHBand="0" w:noVBand="1"/>
      </w:tblPr>
      <w:tblGrid>
        <w:gridCol w:w="7056"/>
        <w:gridCol w:w="5904"/>
      </w:tblGrid>
      <w:tr>
        <w:trPr>
          <w:trHeight w:val="360" w:hRule="auto"/>
          <w:tblHeader/>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Catfish</w:t>
            </w:r>
          </w:p>
        </w:tc>
      </w:tr>
      <w:tr>
        <w:trPr>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Catfish anglers (n = 228) are the closest to the angler population as a whole: no profile's share among them differs from its Overall share by 5 percentage points or more. In profile terms catfish anglers look much like Nebraska anglers generally, so catfish management is in effect management for the general angler.</w:t>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3" name=""/>
                  <wp:cNvGraphicFramePr>
                    <a:graphicFrameLocks noChangeAspect="1"/>
                  </wp:cNvGraphicFramePr>
                  <a:graphic>
                    <a:graphicData uri="http://schemas.openxmlformats.org/drawingml/2006/picture">
                      <pic:pic>
                        <pic:nvPicPr>
                          <pic:cNvPr id="184" name=""/>
                          <pic:cNvPicPr>
                            <a:picLocks noChangeAspect="1" noChangeArrowheads="1"/>
                          </pic:cNvPicPr>
                        </pic:nvPicPr>
                        <pic:blipFill>
                          <a:blip r:embed="rId92"/>
                          <a:srcRect/>
                          <a:stretch>
                            <a:fillRect/>
                          </a:stretch>
                        </pic:blipFill>
                        <pic:spPr bwMode="auto">
                          <a:xfrm>
                            <a:off x="0" y="0"/>
                            <a:ext cx="3657600" cy="2560320"/>
                          </a:xfrm>
                          <a:prstGeom prst="rect">
                            <a:avLst/>
                          </a:prstGeom>
                          <a:noFill/>
                        </pic:spPr>
                      </pic:pic>
                    </a:graphicData>
                  </a:graphic>
                </wp:inline>
              </w:drawing>
            </w:r>
          </w:p>
        </w:tc>
      </w:tr>
    </w:tbl>
    <w:tbl xmlns:w14="http://schemas.microsoft.com/office/word/2010/wordml">
      <w:tblPr>
        <w:tblLayout w:type="fixed"/>
        <w:jc w:val="start"/>
        <w:tblLook w:firstRow="1" w:lastRow="0" w:firstColumn="0" w:lastColumn="0" w:noHBand="0" w:noVBand="1"/>
      </w:tblPr>
      <w:tblGrid>
        <w:gridCol w:w="5904"/>
        <w:gridCol w:w="7056"/>
      </w:tblGrid>
      <w:tr>
        <w:trPr>
          <w:trHeight w:val="360" w:hRule="auto"/>
          <w:tblHeader/>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Trout</w:t>
            </w:r>
          </w:p>
        </w:tc>
      </w:tr>
      <w:tr>
        <w:trPr>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5" name=""/>
                  <wp:cNvGraphicFramePr>
                    <a:graphicFrameLocks noChangeAspect="1"/>
                  </wp:cNvGraphicFramePr>
                  <a:graphic>
                    <a:graphicData uri="http://schemas.openxmlformats.org/drawingml/2006/picture">
                      <pic:pic>
                        <pic:nvPicPr>
                          <pic:cNvPr id="186" name=""/>
                          <pic:cNvPicPr>
                            <a:picLocks noChangeAspect="1" noChangeArrowheads="1"/>
                          </pic:cNvPicPr>
                        </pic:nvPicPr>
                        <pic:blipFill>
                          <a:blip r:embed="rId93"/>
                          <a:srcRect/>
                          <a:stretch>
                            <a:fillRect/>
                          </a:stretch>
                        </pic:blipFill>
                        <pic:spPr bwMode="auto">
                          <a:xfrm>
                            <a:off x="0" y="0"/>
                            <a:ext cx="3657600" cy="2560320"/>
                          </a:xfrm>
                          <a:prstGeom prst="rect">
                            <a:avLst/>
                          </a:prstGeom>
                          <a:noFill/>
                        </pic:spPr>
                      </pic:pic>
                    </a:graphicData>
                  </a:graphic>
                </wp:inline>
              </w:drawing>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Trout anglers lean toward Class 2, the relaxed, catch-optional angler (22.6% ± 9.8 against 16.7% overall), with fewer Class 3 anglers (9.8% ± 7.0 against 15.9% overall); with 90 respondents these intervals are wide. The lean fits a stocked fishery valued for the outing, where access, the timing of stockings and a pleasant setting may matter more than catch rates or trophy potential.</w:t>
            </w:r>
          </w:p>
        </w:tc>
      </w:tr>
    </w:tbl>
    <w:tbl xmlns:w14="http://schemas.microsoft.com/office/word/2010/wordml">
      <w:tblPr>
        <w:tblLayout w:type="fixed"/>
        <w:jc w:val="start"/>
        <w:tblLook w:firstRow="1" w:lastRow="0" w:firstColumn="0" w:lastColumn="0" w:noHBand="0" w:noVBand="1"/>
      </w:tblPr>
      <w:tblGrid>
        <w:gridCol w:w="7056"/>
        <w:gridCol w:w="5904"/>
      </w:tblGrid>
      <w:tr>
        <w:trPr>
          <w:trHeight w:val="360" w:hRule="auto"/>
          <w:tblHeader/>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No preference</w:t>
            </w:r>
          </w:p>
        </w:tc>
      </w:tr>
      <w:tr>
        <w:trPr>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Anglers with no preferred species (n = 339) are the group most weighted toward the less committed profiles: Class 2 (25.2% ± 5.2 against 16.7% overall) and Class 5, the low-involvement angler (19.7% ± 4.7 against 13.4% overall), are both more common than overall, and Class 1 is less common (10.8% ± 3.7 against 18.3% overall). These anglers are a natural focus for recruitment, retention and reactivation efforts, where convenience, easy access and general information are more likely to reach them than species-specific regulation.</w:t>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7" name=""/>
                  <wp:cNvGraphicFramePr>
                    <a:graphicFrameLocks noChangeAspect="1"/>
                  </wp:cNvGraphicFramePr>
                  <a:graphic>
                    <a:graphicData uri="http://schemas.openxmlformats.org/drawingml/2006/picture">
                      <pic:pic>
                        <pic:nvPicPr>
                          <pic:cNvPr id="188" name=""/>
                          <pic:cNvPicPr>
                            <a:picLocks noChangeAspect="1" noChangeArrowheads="1"/>
                          </pic:cNvPicPr>
                        </pic:nvPicPr>
                        <pic:blipFill>
                          <a:blip r:embed="rId94"/>
                          <a:srcRect/>
                          <a:stretch>
                            <a:fillRect/>
                          </a:stretch>
                        </pic:blipFill>
                        <pic:spPr bwMode="auto">
                          <a:xfrm>
                            <a:off x="0" y="0"/>
                            <a:ext cx="3657600" cy="2560320"/>
                          </a:xfrm>
                          <a:prstGeom prst="rect">
                            <a:avLst/>
                          </a:prstGeom>
                          <a:noFill/>
                        </pic:spPr>
                      </pic:pic>
                    </a:graphicData>
                  </a:graphic>
                </wp:inline>
              </w:drawing>
            </w:r>
          </w:p>
        </w:tc>
      </w:tr>
    </w:tbl>
    <w:p>
      <w:pPr>
        <w:pStyle w:val="Corpsdetexte"/>
      </w:pPr>
      <w:r>
        <w:t xml:space="preserve">These implications are interpretive. The profiles are built from attitude, motivation and regulation scales, not from behaviour, and the shares are associations: preferring a species does not place an angler in a profile, nor the reverse. Differences of less than about 5 percentage points are within the precision of these estimates for most family groups, and the Trout group, the smallest family group, has intervals that reach ±9.8 points.</w:t>
      </w:r>
    </w:p>
    <w:p>
      <w:pPr>
        <w:sectPr>
          <w:pgMar w:header="708" w:bottom="1417" w:top="1417" w:right="1417" w:left="1417" w:footer="708" w:gutter="0"/>
          <w:pgSz w:h="11906" w:w="16838" w:orient="landscape"/>
          <w:type w:val="nextPage"/>
          <w:cols/>
        </w:sectPr>
      </w:pPr>
    </w:p>
    <w:bookmarkEnd w:id="101"/>
    <w:bookmarkEnd w:id="102"/>
    <w:bookmarkStart w:id="103" w:name="Xadc3dc32c0f6799308cd74a12ec2decf02bae01"/>
    <w:p>
      <w:pPr>
        <w:pStyle w:val="Titre1"/>
      </w:pPr>
      <w:r>
        <w:t xml:space="preserve">Appendix A - 2025 Nebraska Licensed Angler Survey (Paper Version)</w:t>
      </w:r>
    </w:p>
    <w:p>
      <w:pPr>
        <w:pStyle w:val="FirstParagraph"/>
      </w:pPr>
      <w:r>
        <w:br w:type="page"/>
      </w:r>
    </w:p>
    <w:bookmarkEnd w:id="103"/>
    <w:bookmarkStart w:id="128" w:name="appendix-b---statistical-methodology"/>
    <w:p>
      <w:pPr>
        <w:pStyle w:val="Titre1"/>
      </w:pPr>
      <w:r>
        <w:t xml:space="preserve">Appendix B - Statistical Methodology</w:t>
      </w:r>
    </w:p>
    <w:bookmarkStart w:id="104" w:name="analysis-sample"/>
    <w:p>
      <w:pPr>
        <w:pStyle w:val="Titre2"/>
      </w:pPr>
      <w:r>
        <w:t xml:space="preserve">Analysis sample</w:t>
      </w:r>
    </w:p>
    <w:p>
      <w:pPr>
        <w:pStyle w:val="FirstParagraph"/>
      </w:pPr>
      <w:r>
        <w:t xml:space="preserve">This report is restricted to respondents who answered the preferred-species question. Of the 2,822 anglers who responded to the 2025 survey, 907 left that question blank and are excluded from the report entirely rather than merely from the species columns. The analysis sample is therefore 1,915 respondents.</w:t>
      </w:r>
    </w:p>
    <w:p>
      <w:pPr>
        <w:pStyle w:val="Corpsdetexte"/>
      </w:pPr>
      <w:r>
        <w:t xml:space="preserve">A second, narrower exclusion applies only to the preferred groups. 60 respondents in the analysis sample prefer a species that has no preferred-group column, either because it is in no candidate family or because it and its family did not meet the selection rules in Chapter 1. They remain in the Overall column of every table but receive no preferred-group column of their own. The two exclusions are distinct and are reported separately in Chapter 1.</w:t>
      </w:r>
    </w:p>
    <w:p>
      <w:pPr>
        <w:pStyle w:val="Corpsdetexte"/>
      </w:pPr>
      <w:r>
        <w:t xml:space="preserve">Because of the first restriction, the Overall column of this report estimates a different population than the Overall column of the 2025 Crosstabs report: anglers who stated a species preference, rather than all licensed anglers. The two reports will therefore not agree in that column, and no attempt has been made to reconcile them. The one exception is the preferred-species distribution itself, which is computed on respondents to that question in both reports and does match exactly.</w:t>
      </w:r>
    </w:p>
    <w:bookmarkEnd w:id="104"/>
    <w:bookmarkStart w:id="105" w:name="weighting-and-raking-by-survey-year"/>
    <w:p>
      <w:pPr>
        <w:pStyle w:val="Titre2"/>
      </w:pPr>
      <w:r>
        <w:t xml:space="preserve">Weighting and raking by survey year</w:t>
      </w:r>
    </w:p>
    <w:p>
      <w:pPr>
        <w:pStyle w:val="FirstParagraph"/>
      </w:pPr>
      <w:r>
        <w:t xml:space="preserve">Every respondent record carries a pre-calculated weight that is computed during data aggregation and stored with the survey data. All percentages and means in this report are weighted using that stored value; sample sizes (N) shown in parentheses are always</w:t>
      </w:r>
      <w:r>
        <w:t xml:space="preserve"> </w:t>
      </w:r>
      <w:r>
        <w:rPr>
          <w:b/>
          <w:bCs/>
        </w:rPr>
        <w:t xml:space="preserve">raw, unweighted respondent counts</w:t>
      </w:r>
      <w:r>
        <w:t xml:space="preserve"> </w:t>
      </w:r>
      <w:r>
        <w:t xml:space="preserve">and not weighted Ns. Calculated weights for the 2025 sum to population size values and not sample size values and displaying the weighted N’s would be difficult for readers to interpret. Full detail on</w:t>
      </w:r>
      <w:r>
        <w:t xml:space="preserve"> </w:t>
      </w:r>
      <w:r>
        <w:t xml:space="preserve">how the 2025 raking weights themselves were constructed can be found in Hurley (2026).</w:t>
      </w:r>
    </w:p>
    <w:bookmarkEnd w:id="105"/>
    <w:bookmarkStart w:id="106" w:name="percentage-confidence-intervals"/>
    <w:p>
      <w:pPr>
        <w:pStyle w:val="Titre2"/>
      </w:pPr>
      <w:r>
        <w:t xml:space="preserve">Percentage confidence intervals</w:t>
      </w:r>
    </w:p>
    <w:p>
      <w:pPr>
        <w:pStyle w:val="FirstParagraph"/>
      </w:pPr>
      <w:r>
        <w:t xml:space="preserve">Percentage tables (</w:t>
      </w:r>
      <w:r>
        <w:rPr>
          <w:rStyle w:val="VerbatimChar"/>
        </w:rPr>
        <w:t xml:space="preserve">base.summary.percent.selectOne</w:t>
      </w:r>
      <w:r>
        <w:t xml:space="preserve"> </w:t>
      </w:r>
      <w:r>
        <w:t xml:space="preserve">/</w:t>
      </w:r>
      <w:r>
        <w:t xml:space="preserve"> </w:t>
      </w:r>
      <w:r>
        <w:rPr>
          <w:rStyle w:val="VerbatimChar"/>
        </w:rPr>
        <w:t xml:space="preserve">base.summary.percent.selectAll</w:t>
      </w:r>
      <w:r>
        <w:t xml:space="preserve"> </w:t>
      </w:r>
      <w:r>
        <w:t xml:space="preserve">in</w:t>
      </w:r>
      <w:r>
        <w:t xml:space="preserve"> </w:t>
      </w:r>
      <w:r>
        <w:rPr>
          <w:rStyle w:val="VerbatimChar"/>
        </w:rPr>
        <w:t xml:space="preserve">BaseFunctions_2025_UPDATED.R</w:t>
      </w:r>
      <w:r>
        <w:t xml:space="preserve">) use a</w:t>
      </w:r>
      <w:r>
        <w:t xml:space="preserve"> </w:t>
      </w:r>
      <w:r>
        <w:t xml:space="preserve">normal-approximation (Wald) interval:</w:t>
      </w:r>
    </w:p>
    <w:p>
      <w:pPr>
        <w:pStyle w:val="Corpsdetexte"/>
      </w:pPr>
      <m:oMathPara>
        <m:oMathParaPr>
          <m:jc m:val="center"/>
        </m:oMathParaPr>
        <m:oMath>
          <m:r>
            <m:t>C</m:t>
          </m:r>
          <m:r>
            <m:t>I</m:t>
          </m:r>
          <m:r>
            <m:rPr>
              <m:sty m:val="p"/>
            </m:rPr>
            <m:t>=</m:t>
          </m:r>
          <m:r>
            <m:t>1.96</m:t>
          </m:r>
          <m:r>
            <m:rPr>
              <m:sty m:val="p"/>
            </m:rPr>
            <m:t>×</m:t>
          </m:r>
          <m:rad>
            <m:radPr>
              <m:degHide m:val="on"/>
            </m:radPr>
            <m:deg/>
            <m:e>
              <m:f>
                <m:fPr>
                  <m:type m:val="bar"/>
                </m:fPr>
                <m:num>
                  <m:r>
                    <m:t>p</m:t>
                  </m:r>
                  <m:r>
                    <m:rPr>
                      <m:sty m:val="p"/>
                    </m:rPr>
                    <m:t>(</m:t>
                  </m:r>
                  <m:r>
                    <m:t>1</m:t>
                  </m:r>
                  <m:r>
                    <m:rPr>
                      <m:sty m:val="p"/>
                    </m:rPr>
                    <m:t>−</m:t>
                  </m:r>
                  <m:r>
                    <m:t>p</m:t>
                  </m:r>
                  <m:r>
                    <m:rPr>
                      <m:sty m:val="p"/>
                    </m:rPr>
                    <m:t>)</m:t>
                  </m:r>
                </m:num>
                <m:den>
                  <m:r>
                    <m:t>e</m:t>
                  </m:r>
                  <m:r>
                    <m:t>f</m:t>
                  </m:r>
                  <m:r>
                    <m:t>f</m:t>
                  </m:r>
                  <m:r>
                    <m:t>N</m:t>
                  </m:r>
                </m:den>
              </m:f>
            </m:e>
          </m:rad>
          <m:r>
            <m:rPr>
              <m:sty m:val="p"/>
            </m:rPr>
            <m:t>×</m:t>
          </m:r>
          <m:r>
            <m:t>100</m:t>
          </m:r>
        </m:oMath>
      </m:oMathPara>
    </w:p>
    <w:p>
      <w:pPr>
        <w:pStyle w:val="FirstParagraph"/>
      </w:pPr>
      <w:r>
        <w:t xml:space="preserve">where</w:t>
      </w:r>
      <w:r>
        <w:t xml:space="preserve"> </w:t>
      </w:r>
      <m:oMath>
        <m:r>
          <m:t>p</m:t>
        </m:r>
      </m:oMath>
      <w:r>
        <w:t xml:space="preserve"> </w:t>
      </w:r>
      <w:r>
        <w:t xml:space="preserve">is the weighted proportion and</w:t>
      </w:r>
      <w:r>
        <w:t xml:space="preserve"> </w:t>
      </w:r>
      <m:oMath>
        <m:r>
          <m:t>e</m:t>
        </m:r>
        <m:r>
          <m:t>f</m:t>
        </m:r>
        <m:r>
          <m:t>f</m:t>
        </m:r>
        <m:r>
          <m:t>N</m:t>
        </m:r>
      </m:oMath>
      <w:r>
        <w:t xml:space="preserve"> </w:t>
      </w:r>
      <w:r>
        <w:t xml:space="preserve">is the</w:t>
      </w:r>
      <w:r>
        <w:t xml:space="preserve"> </w:t>
      </w:r>
      <w:r>
        <w:rPr>
          <w:b/>
          <w:bCs/>
        </w:rPr>
        <w:t xml:space="preserve">Kish effective</w:t>
      </w:r>
      <w:r>
        <w:rPr>
          <w:b/>
          <w:bCs/>
        </w:rPr>
        <w:t xml:space="preserve"> </w:t>
      </w:r>
      <w:r>
        <w:rPr>
          <w:b/>
          <w:bCs/>
        </w:rPr>
        <w:t xml:space="preserve">sample size</w:t>
      </w:r>
      <w:r>
        <w:t xml:space="preserve">, not the raw respondent count or the raw sum of weights:</w:t>
      </w:r>
    </w:p>
    <w:p>
      <w:pPr>
        <w:pStyle w:val="Corpsdetexte"/>
      </w:pPr>
      <m:oMathPara>
        <m:oMathParaPr>
          <m:jc m:val="center"/>
        </m:oMathParaPr>
        <m:oMath>
          <m:r>
            <m:t>e</m:t>
          </m:r>
          <m:r>
            <m:t>f</m:t>
          </m:r>
          <m:r>
            <m:t>f</m:t>
          </m:r>
          <m:r>
            <m:t>N</m:t>
          </m:r>
          <m:r>
            <m:rPr>
              <m:sty m:val="p"/>
            </m:rPr>
            <m:t>=</m:t>
          </m:r>
          <m:f>
            <m:fPr>
              <m:type m:val="bar"/>
            </m:fPr>
            <m:num>
              <m:r>
                <m:rPr>
                  <m:sty m:val="p"/>
                </m:rPr>
                <m:t>(</m:t>
              </m:r>
              <m:r>
                <m:rPr>
                  <m:sty m:val="p"/>
                </m:rPr>
                <m:t>∑</m:t>
              </m:r>
              <m:r>
                <m:t>w</m:t>
              </m:r>
              <m:sSup>
                <m:e>
                  <m:r>
                    <m:rPr>
                      <m:sty m:val="p"/>
                    </m:rPr>
                    <m:t>)</m:t>
                  </m:r>
                </m:e>
                <m:sup>
                  <m:r>
                    <m:t>2</m:t>
                  </m:r>
                </m:sup>
              </m:sSup>
            </m:num>
            <m:den>
              <m:r>
                <m:rPr>
                  <m:sty m:val="p"/>
                </m:rPr>
                <m:t>∑</m:t>
              </m:r>
              <m:sSup>
                <m:e>
                  <m:r>
                    <m:t>w</m:t>
                  </m:r>
                </m:e>
                <m:sup>
                  <m:r>
                    <m:t>2</m:t>
                  </m:r>
                </m:sup>
              </m:sSup>
            </m:den>
          </m:f>
        </m:oMath>
      </m:oMathPara>
    </w:p>
    <w:p>
      <w:pPr>
        <w:pStyle w:val="FirstParagraph"/>
      </w:pPr>
      <w:r>
        <w:t xml:space="preserve">This matters because the 2025 weights sum to the angler population (roughly</w:t>
      </w:r>
      <w:r>
        <w:t xml:space="preserve"> </w:t>
      </w:r>
      <w:r>
        <w:t xml:space="preserve">234,000 across all 2025 respondents, a mean weight around 83), not to the</w:t>
      </w:r>
      <w:r>
        <w:t xml:space="preserve"> </w:t>
      </w:r>
      <w:r>
        <w:t xml:space="preserve">number of respondents. A formula that treated the sum of weights as the sample</w:t>
      </w:r>
      <w:r>
        <w:t xml:space="preserve"> </w:t>
      </w:r>
      <w:r>
        <w:t xml:space="preserve">size would inherit that population scale and give intervals roughly 9 times</w:t>
      </w:r>
      <w:r>
        <w:t xml:space="preserve"> </w:t>
      </w:r>
      <w:r>
        <w:t xml:space="preserve">too narrow. The Kish effective sample size avoids this in two ways: it is</w:t>
      </w:r>
      <w:r>
        <w:t xml:space="preserve"> </w:t>
      </w:r>
      <w:r>
        <w:t xml:space="preserve">unchanged if every weight is multiplied by a constant, so the population scale</w:t>
      </w:r>
      <w:r>
        <w:t xml:space="preserve"> </w:t>
      </w:r>
      <w:r>
        <w:t xml:space="preserve">drops out; and it is smaller than the respondent count, reflecting the design</w:t>
      </w:r>
      <w:r>
        <w:t xml:space="preserve"> </w:t>
      </w:r>
      <w:r>
        <w:t xml:space="preserve">effect of unequal weighting.</w:t>
      </w:r>
    </w:p>
    <w:bookmarkEnd w:id="106"/>
    <w:bookmarkStart w:id="107" w:name="mean-confidence-intervals"/>
    <w:p>
      <w:pPr>
        <w:pStyle w:val="Titre2"/>
      </w:pPr>
      <w:r>
        <w:t xml:space="preserve">Mean confidence intervals</w:t>
      </w:r>
    </w:p>
    <w:p>
      <w:pPr>
        <w:pStyle w:val="FirstParagraph"/>
      </w:pPr>
      <w:r>
        <w:t xml:space="preserve">Mean tables (</w:t>
      </w:r>
      <w:r>
        <w:rPr>
          <w:rStyle w:val="VerbatimChar"/>
        </w:rPr>
        <w:t xml:space="preserve">base.summary.means</w:t>
      </w:r>
      <w:r>
        <w:t xml:space="preserve">) compute a weighted mean and a weighted</w:t>
      </w:r>
      <w:r>
        <w:t xml:space="preserve"> </w:t>
      </w:r>
      <w:r>
        <w:t xml:space="preserve">standard deviation, then a standard error using the same</w:t>
      </w:r>
      <w:r>
        <w:t xml:space="preserve"> </w:t>
      </w:r>
      <w:r>
        <w:rPr>
          <w:b/>
          <w:bCs/>
        </w:rPr>
        <w:t xml:space="preserve">Kish effective</w:t>
      </w:r>
      <w:r>
        <w:rPr>
          <w:b/>
          <w:bCs/>
        </w:rPr>
        <w:t xml:space="preserve"> </w:t>
      </w:r>
      <w:r>
        <w:rPr>
          <w:b/>
          <w:bCs/>
        </w:rPr>
        <w:t xml:space="preserve">sample size</w:t>
      </w:r>
      <w:r>
        <w:t xml:space="preserve"> </w:t>
      </w:r>
      <w:r>
        <w:t xml:space="preserve">(</w:t>
      </w:r>
      <m:oMath>
        <m:r>
          <m:t>e</m:t>
        </m:r>
        <m:r>
          <m:t>f</m:t>
        </m:r>
        <m:r>
          <m:t>f</m:t>
        </m:r>
        <m:r>
          <m:t>N</m:t>
        </m:r>
      </m:oMath>
      <w:r>
        <w:t xml:space="preserve">) used by the percentage formula above, rather than the</w:t>
      </w:r>
      <w:r>
        <w:t xml:space="preserve"> </w:t>
      </w:r>
      <w:r>
        <w:t xml:space="preserve">raw respondent count:</w:t>
      </w:r>
    </w:p>
    <w:p>
      <w:pPr>
        <w:pStyle w:val="Corpsdetexte"/>
      </w:pPr>
      <m:oMathPara>
        <m:oMathParaPr>
          <m:jc m:val="center"/>
        </m:oMathParaPr>
        <m:oMath>
          <m:r>
            <m:t>S</m:t>
          </m:r>
          <m:r>
            <m:t>E</m:t>
          </m:r>
          <m:r>
            <m:rPr>
              <m:sty m:val="p"/>
            </m:rPr>
            <m:t>=</m:t>
          </m:r>
          <m:f>
            <m:fPr>
              <m:type m:val="bar"/>
            </m:fPr>
            <m:num>
              <m:r>
                <m:t>S</m:t>
              </m:r>
              <m:sSub>
                <m:e>
                  <m:r>
                    <m:t>D</m:t>
                  </m:r>
                </m:e>
                <m:sub>
                  <m:r>
                    <m:t>w</m:t>
                  </m:r>
                </m:sub>
              </m:sSub>
            </m:num>
            <m:den>
              <m:rad>
                <m:radPr>
                  <m:degHide m:val="on"/>
                </m:radPr>
                <m:deg/>
                <m:e>
                  <m:r>
                    <m:t>e</m:t>
                  </m:r>
                  <m:r>
                    <m:t>f</m:t>
                  </m:r>
                  <m:r>
                    <m:t>f</m:t>
                  </m:r>
                  <m:r>
                    <m:t>N</m:t>
                  </m:r>
                </m:e>
              </m:rad>
            </m:den>
          </m:f>
          <m:r>
            <m:rPr>
              <m:sty m:val="p"/>
            </m:rPr>
            <m:t>,</m:t>
          </m:r>
          <m:r>
            <m:t>  </m:t>
          </m:r>
          <m:r>
            <m:t>C</m:t>
          </m:r>
          <m:r>
            <m:t>I</m:t>
          </m:r>
          <m:r>
            <m:rPr>
              <m:sty m:val="p"/>
            </m:rPr>
            <m:t>=</m:t>
          </m:r>
          <m:r>
            <m:t>1.96</m:t>
          </m:r>
          <m:r>
            <m:rPr>
              <m:sty m:val="p"/>
            </m:rPr>
            <m:t>×</m:t>
          </m:r>
          <m:r>
            <m:t>S</m:t>
          </m:r>
          <m:r>
            <m:t>E</m:t>
          </m:r>
        </m:oMath>
      </m:oMathPara>
    </w:p>
    <w:p>
      <w:pPr>
        <w:pStyle w:val="FirstParagraph"/>
      </w:pPr>
      <w:r>
        <w:t xml:space="preserve">This mirrors the percentage CI fix for the same underlying reason: using</w:t>
      </w:r>
      <w:r>
        <w:t xml:space="preserve"> </w:t>
      </w:r>
      <m:oMath>
        <m:r>
          <m:t>e</m:t>
        </m:r>
        <m:r>
          <m:t>f</m:t>
        </m:r>
        <m:r>
          <m:t>f</m:t>
        </m:r>
        <m:r>
          <m:t>N</m:t>
        </m:r>
      </m:oMath>
      <w:r>
        <w:t xml:space="preserve"> </w:t>
      </w:r>
      <w:r>
        <w:t xml:space="preserve">keeps mean</w:t>
      </w:r>
      <w:r>
        <w:t xml:space="preserve"> </w:t>
      </w:r>
      <w:r>
        <w:t xml:space="preserve">CIs on the same design-effect-corrected basis as percentage CIs. The sample size (N) displayed alongside each mean is still the raw, unweighted respondent count; only the internal SE calculation changed.</w:t>
      </w:r>
    </w:p>
    <w:bookmarkEnd w:id="107"/>
    <w:bookmarkStart w:id="108" w:name="median-confidence-intervals"/>
    <w:p>
      <w:pPr>
        <w:pStyle w:val="Titre2"/>
      </w:pPr>
      <w:r>
        <w:t xml:space="preserve">Median confidence intervals</w:t>
      </w:r>
    </w:p>
    <w:p>
      <w:pPr>
        <w:pStyle w:val="FirstParagraph"/>
      </w:pPr>
      <w:r>
        <w:t xml:space="preserve">Median tables report a weighted median together with</w:t>
      </w:r>
      <w:r>
        <w:t xml:space="preserve"> </w:t>
      </w:r>
      <w:r>
        <w:t xml:space="preserve">a genuine 95% confidence interval for that median, computed by weighted</w:t>
      </w:r>
      <w:r>
        <w:t xml:space="preserve"> </w:t>
      </w:r>
      <w:r>
        <w:t xml:space="preserve">bootstrap: respondents are resampled with replacement, with selection probability</w:t>
      </w:r>
      <w:r>
        <w:t xml:space="preserve"> </w:t>
      </w:r>
      <w:r>
        <w:t xml:space="preserve">proportional to the precalculated weight values, 1,000 times; the (unweighted) median is</w:t>
      </w:r>
      <w:r>
        <w:t xml:space="preserve"> </w:t>
      </w:r>
      <w:r>
        <w:t xml:space="preserve">computed for each resample; and the 2.5th and 97.5th percentiles of those</w:t>
      </w:r>
      <w:r>
        <w:t xml:space="preserve"> </w:t>
      </w:r>
      <w:r>
        <w:t xml:space="preserve">1,000 bootstrap medians form the reported CI bounds. A fixed random seed</w:t>
      </w:r>
      <w:r>
        <w:t xml:space="preserve"> </w:t>
      </w:r>
      <w:r>
        <w:t xml:space="preserve">(7361) is set before each grouped computation so results are reproducible</w:t>
      </w:r>
      <w:r>
        <w:t xml:space="preserve"> </w:t>
      </w:r>
      <w:r>
        <w:t xml:space="preserve">from one render to the next. This method was chosen because there is no</w:t>
      </w:r>
      <w:r>
        <w:t xml:space="preserve"> </w:t>
      </w:r>
      <w:r>
        <w:t xml:space="preserve">simple closed-form confidence interval for a weighted median under</w:t>
      </w:r>
      <w:r>
        <w:t xml:space="preserve"> </w:t>
      </w:r>
      <w:r>
        <w:t xml:space="preserve">arbitrary, non-integer survey weights.</w:t>
      </w:r>
    </w:p>
    <w:bookmarkEnd w:id="108"/>
    <w:bookmarkStart w:id="109" w:name="reverse-coded-item-markers-dagger"/>
    <w:p>
      <w:pPr>
        <w:pStyle w:val="Titre2"/>
      </w:pPr>
      <w:r>
        <w:t xml:space="preserve">Reverse-coded item markers (dagger, †)</w:t>
      </w:r>
    </w:p>
    <w:p>
      <w:pPr>
        <w:pStyle w:val="FirstParagraph"/>
      </w:pPr>
      <w:r>
        <w:t xml:space="preserve">Some questions in this report mark individual items with a dagger and a</w:t>
      </w:r>
      <w:r>
        <w:t xml:space="preserve"> </w:t>
      </w:r>
      <w:r>
        <w:t xml:space="preserve">caption explaining that dagger-marked items</w:t>
      </w:r>
      <w:r>
        <w:t xml:space="preserve"> </w:t>
      </w:r>
      <w:r>
        <w:t xml:space="preserve">“are reverse coded… before</w:t>
      </w:r>
      <w:r>
        <w:t xml:space="preserve"> </w:t>
      </w:r>
      <w:r>
        <w:t xml:space="preserve">computing scale means.”</w:t>
      </w:r>
      <w:r>
        <w:t xml:space="preserve"> </w:t>
      </w:r>
      <w:r>
        <w:t xml:space="preserve">That marking is only meaningful when a table</w:t>
      </w:r>
      <w:r>
        <w:t xml:space="preserve"> </w:t>
      </w:r>
      <w:r>
        <w:t xml:space="preserve">actually being shown reflects a reversed value. That is</w:t>
      </w:r>
      <w:r>
        <w:t xml:space="preserve"> </w:t>
      </w:r>
      <w:r>
        <w:t xml:space="preserve">true for the Angler Attitudes (E1) tables –</w:t>
      </w:r>
      <w:r>
        <w:t xml:space="preserve"> </w:t>
      </w:r>
      <w:r>
        <w:rPr>
          <w:rStyle w:val="VerbatimChar"/>
        </w:rPr>
        <w:t xml:space="preserve">attitude_catch</w:t>
      </w:r>
      <w:r>
        <w:t xml:space="preserve"> </w:t>
      </w:r>
      <w:r>
        <w:t xml:space="preserve">and</w:t>
      </w:r>
      <w:r>
        <w:t xml:space="preserve"> </w:t>
      </w:r>
      <w:r>
        <w:rPr>
          <w:rStyle w:val="VerbatimChar"/>
        </w:rPr>
        <w:t xml:space="preserve">attitude_harvest</w:t>
      </w:r>
      <w:r>
        <w:t xml:space="preserve">, both shown in this report, genuinely reverse items E1a,</w:t>
      </w:r>
      <w:r>
        <w:t xml:space="preserve"> </w:t>
      </w:r>
      <w:r>
        <w:t xml:space="preserve">E1k, E1f, and E1l when computing those subscale and item means.</w:t>
      </w:r>
    </w:p>
    <w:bookmarkEnd w:id="109"/>
    <w:bookmarkStart w:id="110" w:name="scale-scores-and-the-completeness-gate"/>
    <w:p>
      <w:pPr>
        <w:pStyle w:val="Titre2"/>
      </w:pPr>
      <w:r>
        <w:t xml:space="preserve">Scale scores and the completeness gate</w:t>
      </w:r>
    </w:p>
    <w:p>
      <w:pPr>
        <w:pStyle w:val="FirstParagraph"/>
      </w:pPr>
      <w:r>
        <w:t xml:space="preserve">The motivation and attitude scale scores are rebuilt from the raw item responses at render time, applying the reversals flagged in Scales.csv. Each scale table is restricted to respondents who answered every item in that sub-scale, matching the 2025 Crosstabs report. The gate is applied per scale, so each scale carries its own sample size; across the eight scales used here the analysis sample ranges from 1,653 to 1,715 respondents. This is an inherited listwise requirement rather than a discretionary exclusion, and the resulting sample size is printed beside every estimate.</w:t>
      </w:r>
    </w:p>
    <w:bookmarkEnd w:id="110"/>
    <w:bookmarkStart w:id="111" w:name="population-expansions"/>
    <w:p>
      <w:pPr>
        <w:pStyle w:val="Titre2"/>
      </w:pPr>
      <w:r>
        <w:t xml:space="preserve">Population expansions</w:t>
      </w:r>
    </w:p>
    <w:p>
      <w:pPr>
        <w:pStyle w:val="FirstParagraph"/>
      </w:pPr>
      <w:r>
        <w:t xml:space="preserve">The species table in Chapter 1 reports a population expansion, obtained by applying each weighted percentage to the full weighted 2025 angler population of 234,125. That column therefore sums to the full angler population. The weights carried by the 1,915 respondents in the analysis sample themselves total only 171,760, or about 73 percent of the population, because the respondents who skipped the preferred-species question carry weight too.</w:t>
      </w:r>
    </w:p>
    <w:p>
      <w:pPr>
        <w:pStyle w:val="Corpsdetexte"/>
      </w:pPr>
      <w:r>
        <w:t xml:space="preserve">Expanding to the full population rather than to the 171,760 represented by the analysis sample assumes that skipping the preferred-species question is unrelated to which species an angler prefers. That assumption cannot be tested with these data, since no preference was recorded for the respondents who skipped the question. Readers who prefer not to make it should scale the expansion column by 0.734.</w:t>
      </w:r>
    </w:p>
    <w:bookmarkEnd w:id="111"/>
    <w:bookmarkStart w:id="112" w:name="X49bfc2c5614b6fd3a37d8a9960cc79b17adbcde"/>
    <w:p>
      <w:pPr>
        <w:pStyle w:val="Titre2"/>
      </w:pPr>
      <w:r>
        <w:t xml:space="preserve">The preferred groups, and why columns do not sum</w:t>
      </w:r>
    </w:p>
    <w:p>
      <w:pPr>
        <w:pStyle w:val="FirstParagraph"/>
      </w:pPr>
      <w:r>
        <w:t xml:space="preserve">The preferred groups are not a partition. A family that Chapter 1 combined appears both as a family column and as one column per constituent species that met the minimum size, so a respondent who prefers largemouth bass is counted in both the Bass column and the Largemouth bass column. A family that was not combined has no family column, and only its species that met the minimum size appear, each as a column of its own.</w:t>
      </w:r>
    </w:p>
    <w:p>
      <w:pPr>
        <w:pStyle w:val="Corpsdetexte"/>
      </w:pPr>
      <w:r>
        <w:t xml:space="preserve">The columns are chosen by rule, not by hand. A candidate family is combined only if none of its within-family tests has a family-adjusted p-value below 0.05. A column, whether for a family or a species, requires at least 30 raw respondents; the size rule is applied after testing, so every species in a candidate family is tested even if it later falls below the minimum. The hand-typed column list is checked against these rules at every render and the render stops if they disagree.</w:t>
      </w:r>
    </w:p>
    <w:p>
      <w:pPr>
        <w:pStyle w:val="Corpsdetexte"/>
      </w:pPr>
      <w:r>
        <w:t xml:space="preserve">Two consequences follow. Preferred-group column counts sum to 2,637 against 1,855 distinct respondents, so they must never be totalled. And because each column is computed on its own respondents and uses its own denominator, the percentages within any single column remain correct; only addition across columns is invalid.</w:t>
      </w:r>
    </w:p>
    <w:bookmarkEnd w:id="112"/>
    <w:bookmarkStart w:id="113" w:name="comparisons-between-species"/>
    <w:p>
      <w:pPr>
        <w:pStyle w:val="Titre2"/>
      </w:pPr>
      <w:r>
        <w:t xml:space="preserve">Comparisons between species</w:t>
      </w:r>
    </w:p>
    <w:p>
      <w:pPr>
        <w:pStyle w:val="FirstParagraph"/>
      </w:pPr>
      <w:r>
        <w:t xml:space="preserve">Chapter 1 compares species within a family using design-based two-sample</w:t>
      </w:r>
      <w:r>
        <w:t xml:space="preserve"> </w:t>
      </w:r>
      <w:r>
        <w:t xml:space="preserve">comparisons (</w:t>
      </w:r>
      <w:r>
        <w:rPr>
          <w:rStyle w:val="VerbatimChar"/>
        </w:rPr>
        <w:t xml:space="preserve">svyttest</w:t>
      </w:r>
      <w:r>
        <w:t xml:space="preserve"> </w:t>
      </w:r>
      <w:r>
        <w:t xml:space="preserve">from the</w:t>
      </w:r>
      <w:r>
        <w:t xml:space="preserve"> </w:t>
      </w:r>
      <w:r>
        <w:rPr>
          <w:b/>
          <w:bCs/>
        </w:rPr>
        <w:t xml:space="preserve">survey</w:t>
      </w:r>
      <w:r>
        <w:t xml:space="preserve"> </w:t>
      </w:r>
      <w:r>
        <w:t xml:space="preserve">package) on a design object built</w:t>
      </w:r>
      <w:r>
        <w:t xml:space="preserve"> </w:t>
      </w:r>
      <w:r>
        <w:t xml:space="preserve">with the survey weights rescaled to sum to the number of respondents in the</w:t>
      </w:r>
      <w:r>
        <w:t xml:space="preserve"> </w:t>
      </w:r>
      <w:r>
        <w:t xml:space="preserve">pair being compared:</w:t>
      </w:r>
    </w:p>
    <w:p>
      <w:pPr>
        <w:pStyle w:val="Corpsdetexte"/>
      </w:pPr>
      <m:oMathPara>
        <m:oMathParaPr>
          <m:jc m:val="center"/>
        </m:oMathParaPr>
        <m:oMath>
          <m:sSub>
            <m:e>
              <m:r>
                <m:t>w</m:t>
              </m:r>
            </m:e>
            <m:sub>
              <m:r>
                <m:t>n</m:t>
              </m:r>
              <m:r>
                <m:t>o</m:t>
              </m:r>
              <m:r>
                <m:t>r</m:t>
              </m:r>
              <m:r>
                <m:t>m</m:t>
              </m:r>
            </m:sub>
          </m:sSub>
          <m:r>
            <m:rPr>
              <m:sty m:val="p"/>
            </m:rPr>
            <m:t>=</m:t>
          </m:r>
          <m:r>
            <m:t>w</m:t>
          </m:r>
          <m:r>
            <m:rPr>
              <m:sty m:val="p"/>
            </m:rPr>
            <m:t>×</m:t>
          </m:r>
          <m:f>
            <m:fPr>
              <m:type m:val="bar"/>
            </m:fPr>
            <m:num>
              <m:r>
                <m:t>n</m:t>
              </m:r>
            </m:num>
            <m:den>
              <m:r>
                <m:rPr>
                  <m:sty m:val="p"/>
                </m:rPr>
                <m:t>∑</m:t>
              </m:r>
              <m:r>
                <m:t>w</m:t>
              </m:r>
            </m:den>
          </m:f>
        </m:oMath>
      </m:oMathPara>
    </w:p>
    <w:p>
      <w:pPr>
        <w:pStyle w:val="FirstParagraph"/>
      </w:pPr>
      <w:r>
        <w:t xml:space="preserve">The rescaling is presentational. Like the Kish effective sample size, the</w:t>
      </w:r>
      <w:r>
        <w:t xml:space="preserve"> </w:t>
      </w:r>
      <w:r>
        <w:t xml:space="preserve">linearized standard errors that</w:t>
      </w:r>
      <w:r>
        <w:t xml:space="preserve"> </w:t>
      </w:r>
      <w:r>
        <w:rPr>
          <w:b/>
          <w:bCs/>
        </w:rPr>
        <w:t xml:space="preserve">survey</w:t>
      </w:r>
      <w:r>
        <w:t xml:space="preserve"> </w:t>
      </w:r>
      <w:r>
        <w:t xml:space="preserve">computes do not change when every</w:t>
      </w:r>
      <w:r>
        <w:t xml:space="preserve"> </w:t>
      </w:r>
      <w:r>
        <w:t xml:space="preserve">weight is multiplied by a constant, so raw and rescaled weights give identical</w:t>
      </w:r>
      <w:r>
        <w:t xml:space="preserve"> </w:t>
      </w:r>
      <w:r>
        <w:t xml:space="preserve">standard errors and degrees of freedom. The sum-of-weights problem described</w:t>
      </w:r>
      <w:r>
        <w:t xml:space="preserve"> </w:t>
      </w:r>
      <w:r>
        <w:t xml:space="preserve">under percentage confidence intervals does not arise here.</w:t>
      </w:r>
    </w:p>
    <w:p>
      <w:pPr>
        <w:pStyle w:val="Corpsdetexte"/>
      </w:pPr>
      <w:r>
        <w:rPr>
          <w:b/>
          <w:bCs/>
        </w:rPr>
        <w:t xml:space="preserve">No omnibus test is reported.</w:t>
      </w:r>
      <w:r>
        <w:t xml:space="preserve"> </w:t>
      </w:r>
      <w:r>
        <w:t xml:space="preserve">Each row of a comparison table is a single</w:t>
      </w:r>
      <w:r>
        <w:t xml:space="preserve"> </w:t>
      </w:r>
      <w:r>
        <w:t xml:space="preserve">two-species contrast. An overall F-test across the species in a family was</w:t>
      </w:r>
      <w:r>
        <w:t xml:space="preserve"> </w:t>
      </w:r>
      <w:r>
        <w:t xml:space="preserve">considered and dropped, and with it any model</w:t>
      </w:r>
      <w:r>
        <w:t xml:space="preserve"> </w:t>
      </w:r>
      <m:oMath>
        <m:sSup>
          <m:e>
            <m:r>
              <m:t>R</m:t>
            </m:r>
          </m:e>
          <m:sup>
            <m:r>
              <m:t>2</m:t>
            </m:r>
          </m:sup>
        </m:sSup>
      </m:oMath>
      <w:r>
        <w:t xml:space="preserve"> </w:t>
      </w:r>
      <w:r>
        <w:t xml:space="preserve">or</w:t>
      </w:r>
      <w:r>
        <w:t xml:space="preserve"> </w:t>
      </w:r>
      <m:oMath>
        <m:sSup>
          <m:e>
            <m:r>
              <m:t>η</m:t>
            </m:r>
          </m:e>
          <m:sup>
            <m:r>
              <m:t>2</m:t>
            </m:r>
          </m:sup>
        </m:sSup>
      </m:oMath>
      <w:r>
        <w:t xml:space="preserve">, because the</w:t>
      </w:r>
      <w:r>
        <w:t xml:space="preserve"> </w:t>
      </w:r>
      <w:r>
        <w:t xml:space="preserve">split-or-combine decisions were made from the species estimates directly.</w:t>
      </w:r>
    </w:p>
    <w:bookmarkEnd w:id="113"/>
    <w:bookmarkStart w:id="114" w:name="multiplicity"/>
    <w:p>
      <w:pPr>
        <w:pStyle w:val="Titre2"/>
      </w:pPr>
      <w:r>
        <w:t xml:space="preserve">Multiplicity</w:t>
      </w:r>
    </w:p>
    <w:p>
      <w:pPr>
        <w:pStyle w:val="FirstParagraph"/>
      </w:pPr>
      <w:r>
        <w:t xml:space="preserve">The Bonferroni adjustment is applied across every test in a family: the number of species pairs multiplied by the nine outcomes. A two-species family therefore carries 9 tests and a three-species family 27. The unadjusted p-value for each test is multiplied by the family’s test count and capped at 1, and both the unadjusted p and the family-adjusted p are printed.</w:t>
      </w:r>
    </w:p>
    <w:p>
      <w:pPr>
        <w:pStyle w:val="Corpsdetexte"/>
      </w:pPr>
      <w:r>
        <w:t xml:space="preserve">Bonferroni was chosen over Holm for simplicity of exposition. The two rest on</w:t>
      </w:r>
      <w:r>
        <w:t xml:space="preserve"> </w:t>
      </w:r>
      <w:r>
        <w:t xml:space="preserve">identical assumptions and Bonferroni is uniformly the more conservative of the</w:t>
      </w:r>
      <w:r>
        <w:t xml:space="preserve"> </w:t>
      </w:r>
      <w:r>
        <w:t xml:space="preserve">two, so any comparison Bonferroni separates, Holm would separate as well.</w:t>
      </w:r>
      <w:r>
        <w:t xml:space="preserve"> </w:t>
      </w:r>
      <w:r>
        <w:t xml:space="preserve">Tukey’s HSD was not used: it is not valid here given the unequal group sizes and</w:t>
      </w:r>
      <w:r>
        <w:t xml:space="preserve"> </w:t>
      </w:r>
      <w:r>
        <w:t xml:space="preserve">the weighted design. Benjamini-Hochberg was not used because false-discovery</w:t>
      </w:r>
      <w:r>
        <w:t xml:space="preserve"> </w:t>
      </w:r>
      <w:r>
        <w:t xml:space="preserve">control is suited to screening rather than to the go/no-go grouping decisions</w:t>
      </w:r>
      <w:r>
        <w:t xml:space="preserve"> </w:t>
      </w:r>
      <w:r>
        <w:t xml:space="preserve">this chapter supports.</w:t>
      </w:r>
    </w:p>
    <w:p>
      <w:pPr>
        <w:pStyle w:val="Corpsdetexte"/>
      </w:pPr>
      <w:r>
        <w:t xml:space="preserve">The family-adjusted p-values are used for one decision: a family is combined only if none of its adjusted p-values is below 0.05. The comparisons for the smaller species are underpowered, and overlapping confidence intervals are weak evidence that two species are similar, so failing to separate two species is not evidence that they are alike. Comparisons in which one species has fewer than 30 respondents are marked with a dagger in the contrast tables.</w:t>
      </w:r>
    </w:p>
    <w:bookmarkEnd w:id="114"/>
    <w:bookmarkStart w:id="115" w:name="effect-sizes"/>
    <w:p>
      <w:pPr>
        <w:pStyle w:val="Titre2"/>
      </w:pPr>
      <w:r>
        <w:t xml:space="preserve">Effect sizes</w:t>
      </w:r>
    </w:p>
    <w:p>
      <w:pPr>
        <w:pStyle w:val="FirstParagraph"/>
      </w:pPr>
      <w:r>
        <w:t xml:space="preserve">Every comparison reports the weighted difference in means with a 95% confidence interval, and Hedges’ g, a standardized difference computed by pooling the two weighted standard deviations on the effective sample sizes and applying the usual small-sample correction. Both are shown because several species in this survey are represented by very few respondents, where a comparison that separates nothing is not evidence that the species behave alike – the interval is simply too wide to distinguish the two possibilities. The difference, its interval, and g together let the reader tell those cases apart.</w:t>
      </w:r>
    </w:p>
    <w:bookmarkEnd w:id="115"/>
    <w:bookmarkStart w:id="116" w:name="satisfaction-comparisons-in-chapter-4"/>
    <w:p>
      <w:pPr>
        <w:pStyle w:val="Titre2"/>
      </w:pPr>
      <w:r>
        <w:t xml:space="preserve">Satisfaction comparisons in Chapter 4</w:t>
      </w:r>
    </w:p>
    <w:p>
      <w:pPr>
        <w:pStyle w:val="FirstParagraph"/>
      </w:pPr>
      <w:r>
        <w:t xml:space="preserve">Chapter 4 reports no new estimator. Its group means are the weighted means described above, with the same Kish effective-N confidence intervals, and its rows are the same preferred groups used in Chapters 2 and 3.</w:t>
      </w:r>
    </w:p>
    <w:p>
      <w:pPr>
        <w:pStyle w:val="Corpsdetexte"/>
      </w:pPr>
      <w:r>
        <w:t xml:space="preserve">One variable is transformed. A9 is recorded from 1, Very satisfied, to 5, Very dissatisfied, while every D4 item runs from 1, Strongly Disagree, to 5, Strongly Agree. Chapter 4 reports A9 as 6 minus the recorded response so that all six items point the same way. Subtraction from a constant shifts and reflects the scale without changing its spread, so the confidence interval is unchanged: the overall A9 mean of 2.3 plus or minus 0.06 in Chapter 3 appears as 3.7 plus or minus 0.06 in Chapter 4.</w:t>
      </w:r>
    </w:p>
    <w:p>
      <w:pPr>
        <w:pStyle w:val="Corpsdetexte"/>
      </w:pPr>
      <w:r>
        <w:t xml:space="preserve">The size-and-numbers comparisons are paired. For each respondent who answered both items of a pair, the difference between the two responses is computed first, and the group figure is the weighted mean of those differences with the usual interval. Restricting to respondents who answered both items means the two means printed beside the difference describe the same people, so the difference column equals the difference of the columns. Pairing removes between-angler variation in how the scale is used, which is why a difference of a few hundredths of a scale point can carry a narrower interval than either mean.</w:t>
      </w:r>
    </w:p>
    <w:p>
      <w:pPr>
        <w:pStyle w:val="Corpsdetexte"/>
      </w:pPr>
      <w:r>
        <w:t xml:space="preserve">No significance test is reported in Chapter 4, and no adjustment for multiple comparisons is applied. Each interval is a 95 percent interval for its own group taken alone. 15 groups are shown for each pair, and the groups overlap, since a family row contains the respondents in its own species rows; reading every interval at once is therefore a weaker exercise than reading any one of them, and a group whose interval just excludes zero should be read with that in mind. The correlation tables are likewise descriptive summaries with no test attached, and the group-level correlations are computed across 15 overlapping groups rather than across independent observations.</w:t>
      </w:r>
    </w:p>
    <w:bookmarkEnd w:id="116"/>
    <w:bookmarkStart w:id="126" w:name="angler-type-profiles-in-chapter-5"/>
    <w:p>
      <w:pPr>
        <w:pStyle w:val="Titre2"/>
      </w:pPr>
      <w:r>
        <w:t xml:space="preserve">Angler type profiles in Chapter 5</w:t>
      </w:r>
    </w:p>
    <w:bookmarkStart w:id="117" w:name="the-model"/>
    <w:p>
      <w:pPr>
        <w:pStyle w:val="Titre3"/>
      </w:pPr>
      <w:r>
        <w:t xml:space="preserve">The model</w:t>
      </w:r>
    </w:p>
    <w:p>
      <w:pPr>
        <w:pStyle w:val="FirstParagraph"/>
      </w:pPr>
      <w:r>
        <w:t xml:space="preserve">Chapter 5 groups anglers using a latent profile analysis, a finite mixture model in which each respondent is assumed to belong to one of a number of unobserved profiles and, within a profile, each indicator is normally distributed. The indicators are the eleven scale scores reported in Chapter 3: the four angler-attitude scales, the four motivation scales, and the three regulation scales. Within each profile the eleven indicators are treated as uncorrelated, so each profile is described by eleven means and a set of variances.</w:t>
      </w:r>
    </w:p>
    <w:p>
      <w:pPr>
        <w:pStyle w:val="Corpsdetexte"/>
      </w:pPr>
      <w:r>
        <w:t xml:space="preserve">Models were fitted with the tidySEM package (version 0.2.12), function mx_profiles(), which estimates by maximum likelihood in OpenMx (version 2.22.11). tidySEM obtains starting values from a k-means partition, refines them by simulated annealing, and then runs gradient-based optimization. A fixed random seed (5813) is set before each model so the fits are reproducible. Starting values come from a single k-means run, and the sensitivity of the solution to other starting values has not been examined.</w:t>
      </w:r>
    </w:p>
    <w:bookmarkEnd w:id="117"/>
    <w:bookmarkStart w:id="118" w:name="who-was-fitted"/>
    <w:p>
      <w:pPr>
        <w:pStyle w:val="Titre3"/>
      </w:pPr>
      <w:r>
        <w:t xml:space="preserve">Who was fitted</w:t>
      </w:r>
    </w:p>
    <w:p>
      <w:pPr>
        <w:pStyle w:val="FirstParagraph"/>
      </w:pPr>
      <w:r>
        <w:t xml:space="preserve">Of the 1,915 respondents in the analysis sample, 1,718 (89.7 percent) answered at least 7 of the eleven scales and were included in the fit. The threshold was set before fitting. Where a fitted respondent is missing some scales, the model uses the scales that were answered (full-information maximum likelihood); no values are imputed. The remaining 197 respondents (78 who answered between 1 and 6 scales and 119 who answered none) are reported as Unassigned. They are not dropped: they remain in every Chapter 5 row, and Unassigned appears as its own column, so each row’s percentages are of all respondents in that row.</w:t>
      </w:r>
    </w:p>
    <w:p>
      <w:pPr>
        <w:pStyle w:val="Corpsdetexte"/>
      </w:pPr>
      <w:r>
        <w:t xml:space="preserve">Each scale score carries the completeness gate described under Scale scores and the completeness gate above, so the scores entering the model are the same values summarized in the Chapter 5 profile figures and profile means table.</w:t>
      </w:r>
    </w:p>
    <w:bookmarkEnd w:id="118"/>
    <w:bookmarkStart w:id="119" w:name="choosing-the-number-of-profiles-1"/>
    <w:p>
      <w:pPr>
        <w:pStyle w:val="Titre3"/>
      </w:pPr>
      <w:r>
        <w:t xml:space="preserve">Choosing the number of profiles</w:t>
      </w:r>
    </w:p>
    <w:p>
      <w:pPr>
        <w:pStyle w:val="FirstParagraph"/>
      </w:pPr>
      <w:r>
        <w:t xml:space="preserve">Two within-profile variance structures were fitted: one in which every profile shares the same variance for a given indicator (equal), and one in which each profile has its own variances (varying). Under both structures, models with 1 to 6 profiles were fitted. The equal structure was then extended to 7 and 8 profiles because the Bayesian information criterion (BIC) was still decreasing at 6.</w:t>
      </w:r>
    </w:p>
    <w:p>
      <w:pPr>
        <w:pStyle w:val="Corpsdetexte"/>
      </w:pPr>
      <w:r>
        <w:t xml:space="preserve">The number of profiles was chosen by a stated convention rather than a statistical test: among all fitted models, the one with the lowest BIC, restricted to models in which the smallest profile holds at least 5 percent of fitted respondents and the relative entropy is at least 0.60. Only fits that OpenMx reports as converged (status code 0 or 1) are eligible. BIC is computed as</w:t>
      </w:r>
    </w:p>
    <w:p>
      <w:pPr>
        <w:pStyle w:val="Corpsdetexte"/>
      </w:pPr>
      <m:oMathPara>
        <m:oMathParaPr>
          <m:jc m:val="center"/>
        </m:oMathParaPr>
        <m:oMath>
          <m:r>
            <m:t>B</m:t>
          </m:r>
          <m:r>
            <m:t>I</m:t>
          </m:r>
          <m:r>
            <m:t>C</m:t>
          </m:r>
          <m:r>
            <m:rPr>
              <m:sty m:val="p"/>
            </m:rPr>
            <m:t>=</m:t>
          </m:r>
          <m:r>
            <m:rPr>
              <m:sty m:val="p"/>
            </m:rPr>
            <m:t>−</m:t>
          </m:r>
          <m:r>
            <m:t>2</m:t>
          </m:r>
          <m:r>
            <m:rPr>
              <m:sty m:val="p"/>
            </m:rPr>
            <m:t>log</m:t>
          </m:r>
          <m:r>
            <m:t>L</m:t>
          </m:r>
          <m:r>
            <m:rPr>
              <m:sty m:val="p"/>
            </m:rPr>
            <m:t>+</m:t>
          </m:r>
          <m:r>
            <m:t>p</m:t>
          </m:r>
          <m:r>
            <m:rPr>
              <m:sty m:val="p"/>
            </m:rPr>
            <m:t>ln</m:t>
          </m:r>
          <m:r>
            <m:rPr>
              <m:sty m:val="p"/>
            </m:rPr>
            <m:t>(</m:t>
          </m:r>
          <m:r>
            <m:t>n</m:t>
          </m:r>
          <m:r>
            <m:rPr>
              <m:sty m:val="p"/>
            </m:rPr>
            <m:t>)</m:t>
          </m:r>
        </m:oMath>
      </m:oMathPara>
    </w:p>
    <w:p>
      <w:pPr>
        <w:pStyle w:val="FirstParagraph"/>
      </w:pPr>
      <w:r>
        <w:t xml:space="preserve">with p the number of estimated parameters and n = 1,718. OpenMx’s default summary reports a different, degrees-of-freedom-adjusted BIC; it was not used. Relative entropy summarizes how distinctly respondents are assigned:</w:t>
      </w:r>
    </w:p>
    <w:p>
      <w:pPr>
        <w:pStyle w:val="Corpsdetexte"/>
      </w:pPr>
      <m:oMathPara>
        <m:oMathParaPr>
          <m:jc m:val="center"/>
        </m:oMathParaPr>
        <m:oMath>
          <m:r>
            <m:t>E</m:t>
          </m:r>
          <m:r>
            <m:rPr>
              <m:sty m:val="p"/>
            </m:rPr>
            <m:t>=</m:t>
          </m:r>
          <m:r>
            <m:t>1</m:t>
          </m:r>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r>
                        <m:rPr>
                          <m:sty m:val="p"/>
                        </m:rPr>
                        <m:t>−</m:t>
                      </m:r>
                    </m:e>
                  </m:nary>
                </m:e>
              </m:nary>
              <m:sSub>
                <m:e>
                  <m:acc>
                    <m:accPr>
                      <m:chr m:val="̂"/>
                    </m:accPr>
                    <m:e>
                      <m:r>
                        <m:t>p</m:t>
                      </m:r>
                    </m:e>
                  </m:acc>
                </m:e>
                <m:sub>
                  <m:r>
                    <m:t>i</m:t>
                  </m:r>
                  <m:r>
                    <m:t>j</m:t>
                  </m:r>
                </m:sub>
              </m:sSub>
              <m:r>
                <m:rPr>
                  <m:sty m:val="p"/>
                </m:rPr>
                <m:t>ln</m:t>
              </m:r>
              <m:sSub>
                <m:e>
                  <m:acc>
                    <m:accPr>
                      <m:chr m:val="̂"/>
                    </m:accPr>
                    <m:e>
                      <m:r>
                        <m:t>p</m:t>
                      </m:r>
                    </m:e>
                  </m:acc>
                </m:e>
                <m:sub>
                  <m:r>
                    <m:t>i</m:t>
                  </m:r>
                  <m:r>
                    <m:t>j</m:t>
                  </m:r>
                </m:sub>
              </m:sSub>
            </m:num>
            <m:den>
              <m:r>
                <m:t>n</m:t>
              </m:r>
              <m:r>
                <m:rPr>
                  <m:sty m:val="p"/>
                </m:rPr>
                <m:t>ln</m:t>
              </m:r>
              <m:r>
                <m:t>k</m:t>
              </m:r>
            </m:den>
          </m:f>
        </m:oMath>
      </m:oMathPara>
    </w:p>
    <w:p>
      <w:pPr>
        <w:pStyle w:val="FirstParagraph"/>
      </w:pPr>
      <w:r>
        <w:t xml:space="preserve">where p-hat(ij) is respondent i’s estimated probability of belonging to profile j and k is the number of profiles. It runs from 0 to 1, with 1 indicating that every respondent is assigned with certainty.</w:t>
      </w:r>
    </w:p>
    <w:p>
      <w:pPr>
        <w:pStyle w:val="Corpsdetexte"/>
      </w:pPr>
      <w:r>
        <w:t xml:space="preserve">The selected model has 6 profiles with equal variances: BIC 40,968.9, relative entropy 0.747, smallest profile 120 respondents (7.0 percent of those fitted). The full table of fitted models is given in Chapter 5.</w:t>
      </w:r>
    </w:p>
    <w:bookmarkEnd w:id="119"/>
    <w:bookmarkStart w:id="120" w:name="models-that-were-fitted-but-not-eligible"/>
    <w:p>
      <w:pPr>
        <w:pStyle w:val="Titre3"/>
      </w:pPr>
      <w:r>
        <w:t xml:space="preserve">Models that were fitted but not eligible</w:t>
      </w:r>
    </w:p>
    <w:p>
      <w:pPr>
        <w:pStyle w:val="FirstParagraph"/>
      </w:pPr>
      <w:r>
        <w:t xml:space="preserve">Four fits had a lower BIC than the selected model and were excluded under the convention above. The 7- and 8-profile equal-variance models (BIC 40,774.7 and 40,717.5) converged, but their smallest profiles hold 4.1 and 3.3 percent of fitted respondents, below the 5 percent floor. Because BIC continued to decrease through 8 profiles, the selected model is the largest equal-variance model that satisfies the floor rather than the point at which BIC stops improving.</w:t>
      </w:r>
    </w:p>
    <w:p>
      <w:pPr>
        <w:pStyle w:val="Corpsdetexte"/>
      </w:pPr>
      <w:r>
        <w:t xml:space="preserve">The 5- and 6-profile varying-variance models (BIC 39,307.8 and 38,746.6) did not converge (OpenMx status code 6: first-order optimality conditions not met). Inspection showed the cause. In each, one profile (271 and 277 respondents) contains only respondents whose Site-specific regulation score is exactly 5, the top of the scale, among those who answered it (267 of 267 and 273 of 273). That profile’s variance on the indicator shrinks toward zero (estimates of 5.5e-06 and 3.6e-07). Because the normal likelihood increases without limit as a variance approaches zero, the lower BIC of these two models reflects that collapse rather than a better description of the data. A further optimization attempt was not made, since it would search the same unbounded region. Placing a lower bound on the variances was considered and not adopted, because it would change the model specification. Both fits are excluded.</w:t>
      </w:r>
    </w:p>
    <w:bookmarkEnd w:id="120"/>
    <w:bookmarkStart w:id="121" w:name="assigning-respondents-to-profiles"/>
    <w:p>
      <w:pPr>
        <w:pStyle w:val="Titre3"/>
      </w:pPr>
      <w:r>
        <w:t xml:space="preserve">Assigning respondents to profiles</w:t>
      </w:r>
    </w:p>
    <w:p>
      <w:pPr>
        <w:pStyle w:val="FirstParagraph"/>
      </w:pPr>
      <w:r>
        <w:t xml:space="preserve">Each fitted respondent is assigned to the profile with the highest estimated membership probability. Assignment is not certain: the average probability of the assigned profile among its members is at least 0.759 for every profile. Certainty also depends on how many scales a respondent answered. Mean assigned-profile probability is 0.839 for respondents who answered all eleven scales (1,373 respondents), 0.799 for respondents who answered ten (209 respondents), 0.722 for respondents who answered seven to nine (136 respondents); the share assigned with probability below 0.70 is 23.5, 32.1, 44.9 percent respectively. The profile numbers are arbitrary labels produced by the estimation and carry no order.</w:t>
      </w:r>
    </w:p>
    <w:bookmarkEnd w:id="121"/>
    <w:bookmarkStart w:id="122" w:name="weights"/>
    <w:p>
      <w:pPr>
        <w:pStyle w:val="Titre3"/>
      </w:pPr>
      <w:r>
        <w:t xml:space="preserve">Weights</w:t>
      </w:r>
    </w:p>
    <w:p>
      <w:pPr>
        <w:pStyle w:val="FirstParagraph"/>
      </w:pPr>
      <w:r>
        <w:t xml:space="preserve">The model is fitted without the survey weights: each fitted respondent contributes equally to the estimated profiles. Everything reported from the model is then weighted in the same way as the rest of this report. The share of each profile in each row is a weighted percentage with the Kish effective-N confidence interval, and the profile means in the Chapter 5 figures and profile means table are weighted means with the Kish effective-N confidence interval, computed from the assigned respondents. These weighted means are therefore not the same quantities as the unweighted means the model estimated for each profile. Whether the fitting software can carry survey weights into the estimation was not verified. The model diagnostics and the assignment-certainty table are unweighted model quantities.</w:t>
      </w:r>
    </w:p>
    <w:bookmarkEnd w:id="122"/>
    <w:bookmarkStart w:id="123" w:name="reporting-floor-for-species-rows"/>
    <w:p>
      <w:pPr>
        <w:pStyle w:val="Titre3"/>
      </w:pPr>
      <w:r>
        <w:t xml:space="preserve">Reporting floor for species rows</w:t>
      </w:r>
    </w:p>
    <w:p>
      <w:pPr>
        <w:pStyle w:val="FirstParagraph"/>
      </w:pPr>
      <w:r>
        <w:t xml:space="preserve">Chapter 5 is the only chapter of this report that withholds rows. Before the model was fitted, a floor of 30 on the Kish effective sample size was set for species rows, adopting the effective-sample-size element of the National Center for Health Statistics data presentation standards for proportions (Parker JD, Talih M, Malec DJ, et al. National Center for Health Statistics Data Presentation Standards for Proportions. Vital and Health Statistics, Series 2, No. 175. 2017). Only that element is adopted: the NCHS standard also calls for a raw sample size of at least 30 and for Korn-Graubard confidence intervals with width criteria, while this report’s intervals are Wald intervals on the Kish effective N, as described above, and no width criterion is applied.</w:t>
      </w:r>
    </w:p>
    <w:p>
      <w:pPr>
        <w:pStyle w:val="Corpsdetexte"/>
      </w:pPr>
      <w:r>
        <w:t xml:space="preserve">Three rows fall below the floor and are not shown in the Chapter 5 tables: Wiper (35 respondents, effective N 28.6); White bass (39 respondents, effective N 29.8); Northern pike (32 respondents, effective N 26.9). The floor applies to reporting only; these respondents are included in the model fit and in the Overall row. Wiper, White bass, and Northern pike are species whose family was not combined and have no family row, so their respondents appear in no displayed Chapter 5 species row. Where a profile has no respondents in a displayed row, the percentage is 0 and the Wald interval has zero width; this is a property of the interval formula, not a measurement of certainty.</w:t>
      </w:r>
    </w:p>
    <w:bookmarkEnd w:id="123"/>
    <w:bookmarkStart w:id="124" w:name="comparisons-on-other-survey-questions"/>
    <w:p>
      <w:pPr>
        <w:pStyle w:val="Titre3"/>
      </w:pPr>
      <w:r>
        <w:t xml:space="preserve">Comparisons on other survey questions</w:t>
      </w:r>
    </w:p>
    <w:p>
      <w:pPr>
        <w:pStyle w:val="FirstParagraph"/>
      </w:pPr>
      <w:r>
        <w:t xml:space="preserve">The Chapter 5 table of profiles on other survey questions uses the same estimators as Chapter 3: weighted percentages and means with Kish effective-N intervals, and weighted medians with the bootstrap interval described above. Each question keeps its Chapter 3 universe, and the Overall column reproduces the Overall row of the corresponding Chapter 3 table. Unassigned respondents are counted in Overall only. One row is constructed for this chapter: a respondent counts as fishing rivers and streams if they reported the Missouri River, the Platte River, or other streams, rivers, and canals, among respondents who answered the waterbody question.</w:t>
      </w:r>
    </w:p>
    <w:p>
      <w:pPr>
        <w:pStyle w:val="Corpsdetexte"/>
      </w:pPr>
      <w:r>
        <w:t xml:space="preserve">These comparisons treat each respondent’s assigned profile as known. Because assignment is uncertain, some respondents are counted in a profile they may not belong to, which tends to make the profiles look more alike on these questions than they are; the differences shown are therefore more likely understated than overstated. The profile paragraphs name a family group when it makes up at least 5 percentage points more of a profile than of all assigned respondents, as a reminder that species preference and profile membership are related; a group whose row is below the reporting floor is not named. No adjustment for species mix is made.</w:t>
      </w:r>
    </w:p>
    <w:bookmarkEnd w:id="124"/>
    <w:bookmarkStart w:id="125" w:name="what-is-not-reported"/>
    <w:p>
      <w:pPr>
        <w:pStyle w:val="Titre3"/>
      </w:pPr>
      <w:r>
        <w:t xml:space="preserve">What is not reported</w:t>
      </w:r>
    </w:p>
    <w:p>
      <w:pPr>
        <w:pStyle w:val="FirstParagraph"/>
      </w:pPr>
      <w:r>
        <w:t xml:space="preserve">No significance test is reported in Chapter 5, and the profile shares in different rows are not formally compared. As in other chapters, the species rows overlap and must not be totalled.</w:t>
      </w:r>
    </w:p>
    <w:bookmarkEnd w:id="125"/>
    <w:bookmarkEnd w:id="126"/>
    <w:bookmarkStart w:id="127" w:name="display-precision"/>
    <w:p>
      <w:pPr>
        <w:pStyle w:val="Titre2"/>
      </w:pPr>
      <w:r>
        <w:t xml:space="preserve">Display precision</w:t>
      </w:r>
    </w:p>
    <w:p>
      <w:pPr>
        <w:pStyle w:val="FirstParagraph"/>
      </w:pPr>
      <w:r>
        <w:t xml:space="preserve">Scale means and their confidence intervals are printed to three decimal places in Chapter 1, rather than the one decimal place used in the 2025 Crosstabs report. At one decimal place a scale-mean interval of roughly plus or minus 0.04 rounds to zero, which would make the species comparisons unreadable. This is a rounding change in presentation only; the underlying values are identical to those the inherited functions produce.</w:t>
      </w:r>
    </w:p>
    <w:p>
      <w:pPr>
        <w:pStyle w:val="Corpsdetexte"/>
      </w:pPr>
      <w:r>
        <w:t xml:space="preserve">For the same reason, the paired difference columns in Chapter 4 carry two decimal places rather than the one used for the means beside them. The overall difference between satisfaction with size and satisfaction with numbers is 0.07, which one decimal place would print as 0.1 next to an interval of 0.06.</w:t>
      </w:r>
    </w:p>
    <w:p>
      <w:pPr>
        <w:pStyle w:val="SourceCode"/>
      </w:pPr>
      <w:r>
        <w:rPr>
          <w:rStyle w:val="VerbatimChar"/>
        </w:rPr>
        <w:t xml:space="preserve">## Report Took : 109.67 sec elapsed</w:t>
      </w:r>
    </w:p>
    <w:bookmarkEnd w:id="127"/>
    <w:bookmarkEnd w:id="128"/>
    <w:sectPr w:rsidR="005E0C3D" w:rsidSect="00084E93">
      <w:footerReference r:id="rId9" w:type="even"/>
      <w:footerReference r:id="rId10" w:type="default"/>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19" Type="http://schemas.openxmlformats.org/officeDocument/2006/relationships/image" Target="media/a9415450d57133f252337efb4d9b6a8915ecd7b5.png"/>
<Relationship Id="rId20" Type="http://schemas.openxmlformats.org/officeDocument/2006/relationships/image" Target="media/99a7264e0000e86c8340d7c9cd5fc5bd2d6449ca.png"/>
<Relationship Id="rId21" Type="http://schemas.openxmlformats.org/officeDocument/2006/relationships/image" Target="media/0831e03c90a97724b0bcf54678bb109a4014ee41.png"/>
<Relationship Id="rId22" Type="http://schemas.openxmlformats.org/officeDocument/2006/relationships/image" Target="media/8d971f9b3004b6f45acfaa70ddd218176ee4e598.png"/>
<Relationship Id="rId23" Type="http://schemas.openxmlformats.org/officeDocument/2006/relationships/image" Target="media/a65888637d66eb81345e4f1ac103a6bce75748e7.png"/>
<Relationship Id="rId24" Type="http://schemas.openxmlformats.org/officeDocument/2006/relationships/image" Target="media/2e8997ea7d27c16f018a01f5790fa2d33db58170.png"/>
<Relationship Id="rId25" Type="http://schemas.openxmlformats.org/officeDocument/2006/relationships/image" Target="media/4c2e37da9285bb8db16614173c742157a4d0a276.png"/>
<Relationship Id="rId26" Type="http://schemas.openxmlformats.org/officeDocument/2006/relationships/image" Target="media/34d777b40f17a92e13321eef0dc88f0d3d6eeb7f.png"/>
<Relationship Id="rId27" Type="http://schemas.openxmlformats.org/officeDocument/2006/relationships/image" Target="media/a9a86f402a16e0f594ff5429031227cab9cd7177.png"/>
<Relationship Id="rId28" Type="http://schemas.openxmlformats.org/officeDocument/2006/relationships/image" Target="media/d71eca536f4202fb1f096269a3b0c6877dc7383d.png"/>
<Relationship Id="rId29" Type="http://schemas.openxmlformats.org/officeDocument/2006/relationships/image" Target="media/9aa7c311a1d064a161899efb7836041d996dc98b.png"/>
<Relationship Id="rId30" Type="http://schemas.openxmlformats.org/officeDocument/2006/relationships/image" Target="media/997741b7471aa61792337a7341b797daf51b6381.png"/>
<Relationship Id="rId31" Type="http://schemas.openxmlformats.org/officeDocument/2006/relationships/image" Target="media/6a1d2271ce1d5f158032e02632568aa02b6fec79.png"/>
<Relationship Id="rId32" Type="http://schemas.openxmlformats.org/officeDocument/2006/relationships/image" Target="media/16de5192e9471260c62b37cf3bf8b12be9fe0ab0.png"/>
<Relationship Id="rId33" Type="http://schemas.openxmlformats.org/officeDocument/2006/relationships/image" Target="media/688250e67ff11ad0f3c025b82a2a52a743ae34dc.png"/>
<Relationship Id="rId34" Type="http://schemas.openxmlformats.org/officeDocument/2006/relationships/image" Target="media/1ada837b988e584d681a592f3ab915b264d1720d.png"/>
<Relationship Id="rId35" Type="http://schemas.openxmlformats.org/officeDocument/2006/relationships/image" Target="media/e501dd855fa8a69911113a6e68f10a6a7f2511c6.png"/>
<Relationship Id="rId36" Type="http://schemas.openxmlformats.org/officeDocument/2006/relationships/image" Target="media/81a0df14d834862657bc1d4c198022d1cd5ef009.png"/>
<Relationship Id="rId37" Type="http://schemas.openxmlformats.org/officeDocument/2006/relationships/image" Target="media/771b41262e8080717203c968874470e3e2241175.png"/>
<Relationship Id="rId38" Type="http://schemas.openxmlformats.org/officeDocument/2006/relationships/image" Target="media/7600b859fdd1a637301b89af9718a7bb07e2214d.png"/>
<Relationship Id="rId39" Type="http://schemas.openxmlformats.org/officeDocument/2006/relationships/image" Target="media/d639ed517645d3afa458e9c569ad3e3f0b708df4.png"/>
<Relationship Id="rId40" Type="http://schemas.openxmlformats.org/officeDocument/2006/relationships/image" Target="media/769c9dcb10a08100f7a1d86518cac22844b92a78.png"/>
<Relationship Id="rId41" Type="http://schemas.openxmlformats.org/officeDocument/2006/relationships/image" Target="media/911f2a8ac531b864b8588a80b9e898e61a14b1fe.png"/>
<Relationship Id="rId42" Type="http://schemas.openxmlformats.org/officeDocument/2006/relationships/image" Target="media/dd675d436528d88a85b90b51c2bdec2828b30fed.png"/>
<Relationship Id="rId43" Type="http://schemas.openxmlformats.org/officeDocument/2006/relationships/image" Target="media/9dc7dfa550808c65017d1f52a54cf1467356b89c.png"/>
<Relationship Id="rId44" Type="http://schemas.openxmlformats.org/officeDocument/2006/relationships/image" Target="media/6e3c11b4d61c510251a6dd0351e37e0f48e1a772.png"/>
<Relationship Id="rId45" Type="http://schemas.openxmlformats.org/officeDocument/2006/relationships/image" Target="media/85b1c32a0a03868d5af480c860b86fc7e06e32c7.png"/>
<Relationship Id="rId46" Type="http://schemas.openxmlformats.org/officeDocument/2006/relationships/image" Target="media/e7c1299dd97b6931604522654157908e82602df7.png"/>
<Relationship Id="rId47" Type="http://schemas.openxmlformats.org/officeDocument/2006/relationships/image" Target="media/8cc7ce56a4a27138418f3a43d753b742a3f90cc0.png"/>
<Relationship Id="rId48" Type="http://schemas.openxmlformats.org/officeDocument/2006/relationships/image" Target="media/8c91c15eb7bc7a5a70f6477b1834015b240e8eb3.png"/>
<Relationship Id="rId49" Type="http://schemas.openxmlformats.org/officeDocument/2006/relationships/image" Target="media/c85d1df724d2cd23040e4f85dbced9a44e8de668.png"/>
<Relationship Id="rId50" Type="http://schemas.openxmlformats.org/officeDocument/2006/relationships/image" Target="media/cc2fc3ebc5651f8ed17198f23ce65867244f0a28.png"/>
<Relationship Id="rId51" Type="http://schemas.openxmlformats.org/officeDocument/2006/relationships/image" Target="media/284fb7ba213d98a1b8b68302cc0557eab670c1d3.png"/>
<Relationship Id="rId52" Type="http://schemas.openxmlformats.org/officeDocument/2006/relationships/image" Target="media/f394db07c10c77a71c8cc15d1dd0c72d23525133.png"/>
<Relationship Id="rId53" Type="http://schemas.openxmlformats.org/officeDocument/2006/relationships/image" Target="media/61e0b9f16d6f0b3015582bdb9b80fb15a3a63f99.png"/>
<Relationship Id="rId54" Type="http://schemas.openxmlformats.org/officeDocument/2006/relationships/image" Target="media/61e98ec883f5f08f2aeffdb842cd9e5c2005f05c.png"/>
<Relationship Id="rId55" Type="http://schemas.openxmlformats.org/officeDocument/2006/relationships/image" Target="media/eb26c90c43d8a794eb3a049a40c62ac0e3c8453b.png"/>
<Relationship Id="rId56" Type="http://schemas.openxmlformats.org/officeDocument/2006/relationships/image" Target="media/77f66bdec03b7ca8b3eb47d616f43027d2f48d50.png"/>
<Relationship Id="rId57" Type="http://schemas.openxmlformats.org/officeDocument/2006/relationships/image" Target="media/91ed03afc8909baa5c6fc31c771dcd2760ccbca7.png"/>
<Relationship Id="rId58" Type="http://schemas.openxmlformats.org/officeDocument/2006/relationships/image" Target="media/81b21b89b1f9ae615f761b0b95747a1ba545bbb8.png"/>
<Relationship Id="rId59" Type="http://schemas.openxmlformats.org/officeDocument/2006/relationships/image" Target="media/30ced7016d399d9b5c6c96f08e23eea759fbc26f.png"/>
<Relationship Id="rId60" Type="http://schemas.openxmlformats.org/officeDocument/2006/relationships/image" Target="media/70a1912c2239be0636e3ab3e3062dc3152d3a732.png"/>
<Relationship Id="rId61" Type="http://schemas.openxmlformats.org/officeDocument/2006/relationships/image" Target="media/659c501b6ab445486026aed2b98544b766bbc913.png"/>
<Relationship Id="rId62" Type="http://schemas.openxmlformats.org/officeDocument/2006/relationships/image" Target="media/e7300e37bada214a2a50078bcd0265e19052d01c.png"/>
<Relationship Id="rId63" Type="http://schemas.openxmlformats.org/officeDocument/2006/relationships/image" Target="media/1f97f3bd0aac339b7623fc3b260dfb8b8b148fdf.png"/>
<Relationship Id="rId64" Type="http://schemas.openxmlformats.org/officeDocument/2006/relationships/image" Target="media/cb2ad48cbf1320d07eb42a923ad89804dcfc951a.png"/>
<Relationship Id="rId65" Type="http://schemas.openxmlformats.org/officeDocument/2006/relationships/image" Target="media/943b8fc12833d5b6474c091ae8be3c3c59b0b810.png"/>
<Relationship Id="rId66" Type="http://schemas.openxmlformats.org/officeDocument/2006/relationships/image" Target="media/f5fbf4ff9916d7b4a2fb10bbb304df4ba70bb096.png"/>
<Relationship Id="rId67" Type="http://schemas.openxmlformats.org/officeDocument/2006/relationships/image" Target="media/86e8361fca16ecdea55e75eb8cc9331ebd7c6bc6.png"/>
<Relationship Id="rId68" Type="http://schemas.openxmlformats.org/officeDocument/2006/relationships/image" Target="media/fcbdf3d17873935c2b58121f9a911aa36bf593b1.png"/>
<Relationship Id="rId69" Type="http://schemas.openxmlformats.org/officeDocument/2006/relationships/image" Target="media/97a95c0947f0c1161a2a8bd29e8f66d0f34c1959.png"/>
<Relationship Id="rId70" Type="http://schemas.openxmlformats.org/officeDocument/2006/relationships/image" Target="media/f9cc86a2ad2a6564fbbb0e023eee46bf8786aba5.png"/>
<Relationship Id="rId71" Type="http://schemas.openxmlformats.org/officeDocument/2006/relationships/image" Target="media/77a461f843535d29b67ad702f02ea29acabb615d.png"/>
<Relationship Id="rId72" Type="http://schemas.openxmlformats.org/officeDocument/2006/relationships/image" Target="media/e1c54b1b2767bc74d9dfbf30b885b96e1355f898.png"/>
<Relationship Id="rId73" Type="http://schemas.openxmlformats.org/officeDocument/2006/relationships/image" Target="media/ea33ab700c9eb01ed19764b01e9c72f7cc535cf1.png"/>
<Relationship Id="rId74" Type="http://schemas.openxmlformats.org/officeDocument/2006/relationships/image" Target="media/f2dc14f2b830aa3bc5ebfb75a4ba396195935156.png"/>
<Relationship Id="rId75" Type="http://schemas.openxmlformats.org/officeDocument/2006/relationships/image" Target="media/e68abddf7796bc5034b90a975fa6ecbd4e32a30a.png"/>
<Relationship Id="rId76" Type="http://schemas.openxmlformats.org/officeDocument/2006/relationships/image" Target="media/d059c99ab406abb6d51d6f605a695e3fbe28fce6.png"/>
<Relationship Id="rId77" Type="http://schemas.openxmlformats.org/officeDocument/2006/relationships/image" Target="media/bafff05221ae4b7021fdcd9873784473bfa02aab.png"/>
<Relationship Id="rId78" Type="http://schemas.openxmlformats.org/officeDocument/2006/relationships/image" Target="media/b7dedbf783e5d576ab1a1fbd357daa1382985dde.png"/>
<Relationship Id="rId79" Type="http://schemas.openxmlformats.org/officeDocument/2006/relationships/image" Target="media/9b488cd847e1adeb2a5bc4ea8eaa2a5ceb2f4744.png"/>
<Relationship Id="rId80" Type="http://schemas.openxmlformats.org/officeDocument/2006/relationships/image" Target="media/c1d2e8c79c4398f7886332492ae44aba6729471a.png"/>
<Relationship Id="rId81" Type="http://schemas.openxmlformats.org/officeDocument/2006/relationships/image" Target="media/53ce032ab6bb6d67b23dfb6e21aa2a4a807e63ca.png"/>
<Relationship Id="rId82" Type="http://schemas.openxmlformats.org/officeDocument/2006/relationships/image" Target="media/92eb1627fc4ce018f9f56da2d9a822920aee286d.jpeg"/>
<Relationship Id="rId83" Type="http://schemas.openxmlformats.org/officeDocument/2006/relationships/image" Target="media/267a442ced051e21556a47ba7b31dc7edcb181e3.jpeg"/>
<Relationship Id="rId84" Type="http://schemas.openxmlformats.org/officeDocument/2006/relationships/image" Target="media/fbad1d15d50b30aa35dbad5a9bb642e53b0c33a9.jpeg"/>
<Relationship Id="rId85" Type="http://schemas.openxmlformats.org/officeDocument/2006/relationships/image" Target="media/931429c2b48cfe81e1dbdf804b6a94d50d4b8d81.jpeg"/>
<Relationship Id="rId86" Type="http://schemas.openxmlformats.org/officeDocument/2006/relationships/image" Target="media/e0968d0467b50e68b4575fbc799ea6f375d31e92.jpeg"/>
<Relationship Id="rId87" Type="http://schemas.openxmlformats.org/officeDocument/2006/relationships/image" Target="media/5bcfbf5afe7d824d06dcecb58b19cfa3f29ef363.jpeg"/>
<Relationship Id="rId88" Type="http://schemas.openxmlformats.org/officeDocument/2006/relationships/image" Target="media/d493ef3383900280bced8c0aca91cec6b1c17598.png"/>
<Relationship Id="rId89" Type="http://schemas.openxmlformats.org/officeDocument/2006/relationships/image" Target="media/898fd747b923d583af5cc3b37b7bf6e70f352ba3.png"/>
<Relationship Id="rId90" Type="http://schemas.openxmlformats.org/officeDocument/2006/relationships/image" Target="media/3bc1ef0a324acf30315083320352cbbffc1383b6.png"/>
<Relationship Id="rId91" Type="http://schemas.openxmlformats.org/officeDocument/2006/relationships/image" Target="media/95f8cb2ab50031a25a04d5259f794958520d3af7.png"/>
<Relationship Id="rId92" Type="http://schemas.openxmlformats.org/officeDocument/2006/relationships/image" Target="media/f0ecf6f22ed5d16c5b4b199f3cfef8679738a0b9.png"/>
<Relationship Id="rId93" Type="http://schemas.openxmlformats.org/officeDocument/2006/relationships/image" Target="media/1f1d96c799a2473f502ee9476999c28a3734fe80.png"/>
<Relationship Id="rId94" Type="http://schemas.openxmlformats.org/officeDocument/2006/relationships/image" Target="media/42523a43e91d56c7037d2f536d699dbf46c01d9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2026-09-30T15:12:29Z</dcterms:created>
  <dcterms:modified xsi:type="dcterms:W3CDTF">2026-09-30T10:13:22Z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output">
    <vt:lpwstr/>
  </property>
</Properties>
</file>