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4"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0"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0"/>
    <w:bookmarkStart w:id="81"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1"/>
    <w:bookmarkStart w:id="82"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Blue catfish, Moronides, Catfish, Walleye / Sauger; it lies below zero, with numbers rated higher than size, for Largemouth bass, Bass. For the remaining 10 groups the interval includes zero. Overall the difference is 0.07 ± 0.06.</w:t>
      </w:r>
    </w:p>
    <w:p>
      <w:pPr>
        <w:pStyle w:val="Corpsdetexte"/>
      </w:pPr>
      <w:r>
        <w:br w:type="page"/>
      </w:r>
    </w:p>
    <w:bookmarkEnd w:id="82"/>
    <w:bookmarkStart w:id="83"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Muskellunge / Tiger musky, and below zero for No preference. For the remaining 15 groups the interval includes zero. Overall the difference is -0.00 ± 0.04.</w:t>
      </w:r>
    </w:p>
    <w:p>
      <w:pPr>
        <w:pStyle w:val="Corpsdetexte"/>
      </w:pPr>
      <w:r>
        <w:br w:type="page"/>
      </w:r>
    </w:p>
    <w:bookmarkEnd w:id="83"/>
    <w:bookmarkEnd w:id="84"/>
    <w:bookmarkStart w:id="98" w:name="chapter-5-angler-type-profiles"/>
    <w:p>
      <w:pPr>
        <w:pStyle w:val="Titre1"/>
      </w:pPr>
      <w:r>
        <w:t xml:space="preserve">Chapter 5: Angler Type Profiles</w:t>
      </w:r>
    </w:p>
    <w:p>
      <w:pPr>
        <w:pStyle w:val="FirstParagraph"/>
      </w:pPr>
      <w:r>
        <w:t xml:space="preserve">This chapter groups anglers into profiles using a latent profile analysis of eleven scale scores reported in Chapter 3: the four angler-attitude scales, the four motivation scales, and the three regulation scales. One model is fitted to the whole report universe, so the profiles are defined once and are the same in every preferred-species row; the tables below report how each row’s respondents are distributed across them. The model is fitted without the survey weights. Every percentage and mean reported from it is weighted, with intervals built on the Kish effective N and raw unweighted counts displayed, as in Chapters 1 to 4.</w:t>
      </w:r>
    </w:p>
    <w:p>
      <w:pPr>
        <w:pStyle w:val="Corpsdetexte"/>
      </w:pPr>
      <w:r>
        <w:t xml:space="preserve">1,718 of the 1,915 respondents in this report’s universe (89.7%) answered at least 7 of the eleven scales and were included in the fit. Scales that a fitted respondent left blank are handled within the model rather than imputed. The other 197 respondents are reported as Unassigned rather than dropped. Profiles are numbered 1 to 6 in the order the estimation produced them; the numbers are labels and carry no order.</w:t>
      </w:r>
    </w:p>
    <w:p>
      <w:pPr>
        <w:sectPr>
          <w:pgMar w:header="708" w:bottom="1417" w:top="1417" w:right="1417" w:left="1417" w:footer="708" w:gutter="0"/>
          <w:pgSz w:h="16838" w:w="11906" w:orient="portrait"/>
          <w:type w:val="nextPage"/>
          <w:cols/>
        </w:sectPr>
      </w:pPr>
    </w:p>
    <w:bookmarkStart w:id="85" w:name="choosing-the-number-of-profiles"/>
    <w:p>
      <w:pPr>
        <w:pStyle w:val="Titre2"/>
      </w:pPr>
      <w:r>
        <w:t xml:space="preserve">Choosing the number of profiles</w:t>
      </w:r>
    </w:p>
    <w:p>
      <w:pPr>
        <w:pStyle w:val="FirstParagraph"/>
      </w:pPr>
      <w:r>
        <w:t xml:space="preserve">Models with 1 to 6 profiles were fitted under two within-profile variance structures: equal, in which every profile shares one variance per scale, and varying, in which each profile has its own. The equal structure was extended to 8 profiles. The model used in the rest of this chapter is the one with the lowest BIC among models that converged, whose smallest profile holds at least 5 percent of fitted respondents, and whose relative entropy is at least 0.60. That is the 6-profile equal-variance model. BIC is minus twice the log-likelihood plus the number of estimated parameters times the natural log of the number of fitted respondents; lower values indicate better fit. Relative entropy runs from 0 to 1, with 1 meaning every respondent is assigned with certainty. The lowest mean assigned probability is the average membership probability among the respondents assigned to a profile, for the profile where that average is smallest. OpenMx status 0 or 1 indicates the estimation converged. All values in this table are unweighted model quantities.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Parameters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Log-likelihood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Relative entropy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Smallest profile n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Lowest mean assigned probability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OpenMx status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Eligible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(22.9%)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41,092.5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 (selected)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-20,037.2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40,774.7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smallest profile below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44,404.4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1,718 (100.0%)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-20,774.8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(25.4%)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Varying</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-18,863.0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(13.3%)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not converged (status 6)</w:t>
            </w:r>
          </w:p>
        </w:tc>
      </w:tr>
    </w:tbl>
    <w:p>
      <w:pPr>
        <w:pStyle w:val="Corpsdetexte"/>
      </w:pPr>
      <w:r>
        <w:t xml:space="preserve">Four models with a lower BIC than the selected model are not eligible. The 7- and 8-profile equal-variance models converged, but their smallest profiles hold 4.1 and 3.3 percent of fitted respondents. BIC is lower at every larger equal-variance model fitted, so the selected model is the largest eligible equal-variance model rather than the point at which BIC stops decreasing. The 5- and 6-profile varying-variance models did not converge (OpenMx status 6). In each, one profile (271 and 277 respondents) contains only respondents at the scale maximum of 5 on the Site-specific regulation scale among those who answered it (267 of 267 and 273 of 273), and that profile’s estimated variance on the scale is effectively zero (5.5e-06 and 3.6e-07).</w:t>
      </w:r>
    </w:p>
    <w:bookmarkEnd w:id="85"/>
    <w:bookmarkStart w:id="86" w:name="assignment-certainty"/>
    <w:p>
      <w:pPr>
        <w:pStyle w:val="Titre2"/>
      </w:pPr>
      <w:r>
        <w:t xml:space="preserve">Assignment certainty</w:t>
      </w:r>
    </w:p>
    <w:p>
      <w:pPr>
        <w:pStyle w:val="FirstParagraph"/>
      </w:pPr>
      <w:r>
        <w:t xml:space="preserve">Each fitted respondent is assigned to the profile with the highest estimated membership probability. The table below shows how certain those assignments are, by the number of scales the respondent answered. The values are unweighted model quantities for the 1,718 fitted respondents.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Scales answered (of 11)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probability of assigned 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Assigned with probability below 0.70</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w:t>
            </w:r>
          </w:p>
        </w:tc>
      </w:tr>
    </w:tbl>
    <w:p>
      <w:pPr>
        <w:sectPr>
          <w:pgMar w:header="708" w:bottom="1417" w:top="1417" w:right="1417" w:left="1417" w:footer="708" w:gutter="0"/>
          <w:pgSz w:h="11906" w:w="16838" w:orient="landscape"/>
          <w:type w:val="nextPage"/>
          <w:cols/>
        </w:sectPr>
      </w:pPr>
    </w:p>
    <w:bookmarkEnd w:id="86"/>
    <w:bookmarkStart w:id="87" w:name="profile-means"/>
    <w:p>
      <w:pPr>
        <w:pStyle w:val="Titre2"/>
      </w:pPr>
      <w:r>
        <w:t xml:space="preserve">Profile means</w:t>
      </w:r>
    </w:p>
    <w:p>
      <w:pPr>
        <w:pStyle w:val="FirstParagraph"/>
      </w:pPr>
      <w:r>
        <w:t xml:space="preserve">The two figures below show the weighted mean of each scale for the respondents assigned to each profile, with 95 percent confidence intervals. These are weighted means of the assigned respondents, not the unweighted means the model estimated for each profile. The first figure places the profiles side by side across the eleven scales.</w:t>
      </w:r>
    </w:p>
    <w:p>
      <w:pPr>
        <w:jc w:val="center"/>
        <w:pStyle w:val="Figure"/>
      </w:pPr>
      <w:r>
        <w:rPr/>
        <w:drawing>
          <wp:inline distT="0" distB="0" distL="0" distR="0">
            <wp:extent cx="5943600" cy="50292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5029200"/>
                    </a:xfrm>
                    <a:prstGeom prst="rect">
                      <a:avLst/>
                    </a:prstGeom>
                    <a:noFill/>
                  </pic:spPr>
                </pic:pic>
              </a:graphicData>
            </a:graphic>
          </wp:inline>
        </w:drawing>
      </w:r>
    </w:p>
    <w:p>
      <w:pPr>
        <w:pStyle w:val="Corpsdetexte"/>
      </w:pPr>
      <w:r>
        <w:t xml:space="preserve">The second figure shows one panel per scale, with the profiles along the horizontal axis and the Overall weighted mean for every respondent who answered that scale as a dashed line.</w:t>
      </w:r>
    </w:p>
    <w:p>
      <w:pPr>
        <w:jc w:val="center"/>
        <w:pStyle w:val="Figure"/>
      </w:pPr>
      <w:r>
        <w:rPr/>
        <w:drawing>
          <wp:inline distT="0" distB="0" distL="0" distR="0">
            <wp:extent cx="5943600" cy="64008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64008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p>
      <w:pPr>
        <w:pStyle w:val="Corpsdetexte"/>
      </w:pPr>
      <w:r>
        <w:t xml:space="preserve">The values behind both figures are below. The Overall column is computed on every respondent in the universe who answered the scale, including Unassigned respondents, and equals the Overall row of the Chapter 3 scale tables.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5" name=""/>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7" name=""/>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19" name=""/>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1" name=""/>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3" name=""/>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5" name=""/>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Domain</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Scale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0.08 (355)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(344)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0.10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0.09 (307)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0.12 (116)</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0.10 (116)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0.08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(117)</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0.09 (334)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0.09 (282)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0.11 (267)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0.11 (296)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0.13 (118)</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(350)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0.07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0.07 (299)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(111)</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0.06 (281)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0.07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(117)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0.06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0.08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0.07 (274)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 (116)</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0.05 (349)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(326)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0.06 (284)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(279)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0.06 (295)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0.08 (118)</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0.09 (353)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(337)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0.08 (281)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(277)</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(302)</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0.11 (117)</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0.07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0.09 (117)</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0.07 (350)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(338)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(300)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0.14 (113)</w:t>
            </w:r>
          </w:p>
        </w:tc>
      </w:tr>
    </w:tbl>
    <w:bookmarkEnd w:id="87"/>
    <w:bookmarkStart w:id="88" w:name="profiles-on-other-survey-questions"/>
    <w:p>
      <w:pPr>
        <w:pStyle w:val="Titre2"/>
      </w:pPr>
      <w:r>
        <w:t xml:space="preserve">Profiles on other survey questions</w:t>
      </w:r>
    </w:p>
    <w:p>
      <w:pPr>
        <w:pStyle w:val="FirstParagraph"/>
      </w:pPr>
      <w:r>
        <w:t xml:space="preserve">The table below compares the profiles on other survey questions. Each question keeps the universe it has in Chapter 3, so N differs by row, and the Overall column equals the Overall row of the corresponding Chapter 3 table. Unassigned respondents are counted in Overall only and have no column of their own. The river and stream row counts a respondent who fished the Missouri River, the Platte River, or other streams, rivers, and canals; it combines three Chapter 3 waterbody types and has no single Chapter 3 counterpart. Percentage and mean cells show the weighted value with a 95 percent confidence interval, followed by N. Median cells show the lower limit, the weighted median and the upper limit, followed by N, as in Chapter 3. Satisfaction is scored from 1, Very satisfied, to 5, Very dissatisfied, as in Chapter 3.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7" name=""/>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29" name=""/>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1" name=""/>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3" name=""/>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5" name=""/>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37" name=""/>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Measure</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mean</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3.28 (357)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3.89 (336)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4.57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45.4 ± 5.86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3.06 (302)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3.99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Days fished in 2025,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17.0/19.0/22.0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10.5/14.0/18.0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20.0/24.0/30.0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27.0/31.0/36.5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6.0/7.0/10.0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9.0/13.0/19.0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at least one tournament,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 (1,908)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2.08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2.49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2.85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1.90 (309)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1.52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Hired a fishing guide,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3.67 (361)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2.67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4.43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3.48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2.90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4.12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motorized boat,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57.4 ± 5.68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 ± 6.00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58.4 ± 6.33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57.1 ± 6.37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6.35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9.74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from a kayak or canoe,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4.83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5.36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5.51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3.56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7.52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Ice fished,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 (1,865)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4.69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3.94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5.18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5.52 (280)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3.73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7.65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the Missouri River, Platte River, or other streams and rivers,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2.44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5.56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5.68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 ± 6.16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6.46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5.59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9.01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a water requiring a Park Entry Permit,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 (1,898)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68.3 ± 5.33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68.0 ± 5.53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71.2 ± 5.79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77.0 ± 5.37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6.32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8.90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private areas to fish or launch,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5.75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5.99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6.53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6.22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6.45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9.62 (99)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 (1,884)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 ± 5.79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5.87 (342)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6.43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6.36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5.76 (307)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9.34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One-way miles to most visited water,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 fishing satisfaction, mean (1 = Very satisfied, 5 = Very dissatisfied)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 (1,871)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0.12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0.15 (285)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0.19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Used live-imaging sonar,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4.17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3.96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4.72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5.25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3.40 (307)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6.31 (118)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Female, %</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 (1,801)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4.42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5.33 (346)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4.24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4.49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4.99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8.92 (118)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 mean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 (1,777)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 ± 1.80 (358)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1.96 (337)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2.05 (292)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1.94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2.33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3.10 (117)</w:t>
            </w:r>
          </w:p>
        </w:tc>
      </w:tr>
    </w:tbl>
    <w:p>
      <w:pPr>
        <w:sectPr>
          <w:pgMar w:header="708" w:bottom="1417" w:top="1417" w:right="1417" w:left="1417" w:footer="708" w:gutter="0"/>
          <w:pgSz w:h="11906" w:w="16838" w:orient="landscape"/>
          <w:type w:val="nextPage"/>
          <w:cols/>
        </w:sectPr>
      </w:pPr>
    </w:p>
    <w:bookmarkEnd w:id="88"/>
    <w:bookmarkStart w:id="95" w:name="the-six-profiles"/>
    <w:p>
      <w:pPr>
        <w:pStyle w:val="Titre2"/>
      </w:pPr>
      <w:r>
        <w:t xml:space="preserve">The six profiles</w:t>
      </w:r>
    </w:p>
    <w:p>
      <w:pPr>
        <w:pStyle w:val="FirstParagraph"/>
      </w:pPr>
      <w:r>
        <w:t xml:space="preserve">The six profiles are listed below with the icon that marks each profile’s column in the tables of this chapter. Shares are weighted percentages of respondents; N is the number of respondents assigned to the profile.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Profile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Label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Share of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39" name=""/>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76"/>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harvest-minded, keep-it-simple angler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1" name=""/>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77"/>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relaxed, catch-optional angler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3" name=""/>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78"/>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regulation-savvy catch-and-release sport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5" name=""/>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79"/>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all-in enthusiast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7" name=""/>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80"/>
                          <a:srcRect/>
                          <a:stretch>
                            <a:fillRect/>
                          </a:stretch>
                        </pic:blipFill>
                        <pic:spPr bwMode="auto">
                          <a:xfrm>
                            <a:off x="0" y="0"/>
                            <a:ext cx="457200" cy="457200"/>
                          </a:xfrm>
                          <a:prstGeom prst="rect">
                            <a:avLst/>
                          </a:prstGeom>
                          <a:noFill/>
                        </pic:spPr>
                      </pic:pic>
                    </a:graphicData>
                  </a:graphic>
                </wp:inline>
              </w:drawing>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low-involvement angler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drawing>
                <wp:inline distT="0" distB="0" distL="0" distR="0">
                  <wp:extent cx="457200" cy="457200"/>
                  <wp:docPr id="149" name=""/>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81"/>
                          <a:srcRect/>
                          <a:stretch>
                            <a:fillRect/>
                          </a:stretch>
                        </pic:blipFill>
                        <pic:spPr bwMode="auto">
                          <a:xfrm>
                            <a:off x="0" y="0"/>
                            <a:ext cx="457200" cy="457200"/>
                          </a:xfrm>
                          <a:prstGeom prst="rect">
                            <a:avLst/>
                          </a:prstGeom>
                          <a:noFill/>
                        </pic:spPr>
                      </pic:pic>
                    </a:graphicData>
                  </a:graphic>
                </wp:inline>
              </w:drawing>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conservation-minded purist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bl>
    <w:p>
      <w:pPr>
        <w:pStyle w:val="Corpsdetexte"/>
      </w:pPr>
      <w:r>
        <w:t xml:space="preserve">The paragraphs below describe each profile by the scales on which it differs most from the Overall mean. Means are the weighted means in the profile means table; the figure after each mean is its distance from the Overall mean in standard deviations of the Overall weighted distribution (SD). Two scale names need a note: the Fishery resource motivation scale is made up of catch outcomes (competing for prizes, obtaining fish to eat, catching a trophy, the fun of catching), and the Simplification regulation scale measures agreement with uniform statewide regulations. Species shares are the row percentages from the profiles-by-preferred-species table at the end of this chapter, with their confidence intervals. The label and the closing picture in each paragraph are an interpretive summary of the eleven scale scores. They are not measured directly, and traits beyond those scales, such as how often or how an angler fishes, are not established by these data.</w:t>
      </w:r>
    </w:p>
    <w:p>
      <w:pPr>
        <w:pStyle w:val="Corpsdetexte"/>
      </w:pPr>
      <w:r>
        <w:t xml:space="preserve">The second paragraph for each profile compares it with the Overall column on the other survey questions in the table above; the values quoted are from that table, and its confidence intervals show that several of the differences described are small relative to their precision. Where a family group makes up at least 5 percentage points more of a profile than of all assigned respondents, the paragraph names it, because questions that vary by species may partly reflect that mix rather than the profile itself.</w:t>
      </w:r>
    </w:p>
    <w:bookmarkStart w:id="89" w:name="Xc0fd8528f800c1d1d977a19a4150be6484941ea"/>
    <w:p>
      <w:pPr>
        <w:pStyle w:val="Titre3"/>
      </w:pPr>
      <w:r>
        <w:t xml:space="preserve">Class 1: The harvest-minded, keep-it-simple angler</w:t>
      </w:r>
    </w:p>
    <w:p>
      <w:pPr>
        <w:jc w:val="center"/>
        <w:pStyle w:val="Figure"/>
      </w:pPr>
      <w:r>
        <w:rPr/>
        <w:drawing>
          <wp:inline distT="0" distB="0" distL="0" distR="0">
            <wp:extent cx="5943600" cy="324612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82"/>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1: The harvest-minded, keep-it-simple angler</w:t>
      </w:r>
    </w:p>
    <w:p>
      <w:pPr>
        <w:pStyle w:val="Corpsdetexte"/>
      </w:pPr>
      <w:r>
        <w:t xml:space="preserve">Class 1 holds 18.3% of respondents (n = 362). It has the highest harvest score of any profile (2.8, +0.75 SD) and is above average on needing to catch something (3.4) and on catching many fish (3.6). Size matters no more than average (3.3), and its motivations sit near the Overall means. What sets it apart is regulations: it reports the least comprehension of the rules (2.8, -0.87 SD), the least support for site-specific rules (3.3), and the strongest preference for uniform statewide rules (3.6, +0.59 SD). Picture someone who fishes for a meal, measures a trip by what goes in the cooler, and finds a patchwork of lake-specific rules confusing. Class 1 makes up 26.3% ± 4.3 of Walleye / Sauger, 25.2% ± 7.1 of Crappie and 23.0% ± 6.0 of Panfish / Sunfish anglers, against 18.3% overall.</w:t>
      </w:r>
    </w:p>
    <w:p>
      <w:pPr>
        <w:pStyle w:val="Corpsdetexte"/>
      </w:pPr>
      <w:r>
        <w:t xml:space="preserve">On the other survey questions, Class 1 fishes about as often as anglers overall (mean days 28.6, against 30.2 overall). It is more likely than average to have hired a guide (11.6%, against 8.1% overall), to have ice fished (21.2%, against 17.7% overall) and to have fished from a motorized boat (57.4%, against 51.1% overall). It reports the lowest overall satisfaction of any profile (mean 2.6, against 2.3 overall, where higher means less satisfied). Its species mix leans toward Walleye / Sauger (34.1% of the profile, against 24.3% of all assigned respondents), so differences on questions that vary by species may partly reflect that mix rather than the profile itself.</w:t>
      </w:r>
    </w:p>
    <w:bookmarkEnd w:id="89"/>
    <w:bookmarkStart w:id="90" w:name="Xa8c41db140c6eca67601616ab9b133a568ff22d"/>
    <w:p>
      <w:pPr>
        <w:pStyle w:val="Titre3"/>
      </w:pPr>
      <w:r>
        <w:t xml:space="preserve">Class 2: The relaxed, catch-optional angler</w:t>
      </w:r>
    </w:p>
    <w:p>
      <w:pPr>
        <w:jc w:val="center"/>
        <w:pStyle w:val="Figure"/>
      </w:pPr>
      <w:r>
        <w:rPr/>
        <w:drawing>
          <wp:inline distT="0" distB="0" distL="0" distR="0">
            <wp:extent cx="5943600" cy="324612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83"/>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2: The relaxed, catch-optional angler</w:t>
      </w:r>
    </w:p>
    <w:p>
      <w:pPr>
        <w:pStyle w:val="Corpsdetexte"/>
      </w:pPr>
      <w:r>
        <w:t xml:space="preserve">Class 2 holds 16.7% of respondents (n = 347). It is below average on all four catch attitudes: catch something 2.2, numbers 2.5, size 2.8, harvest 2.0. Its lowest motivation is catch outcomes (2.2, -0.52 SD), while the outdoors (3.8) and social (3.8) motivations run slightly above average. Its regulation scores are middling, with a slight lean toward uniform rules (3.3). Picture someone who goes for the day out, the company and the water, and for whom a fishless trip is not a failed trip. Class 2 makes up 25.2% ± 5.2 of No preference and 22.6% ± 9.8 of Trout anglers, against 16.7% overall.</w:t>
      </w:r>
    </w:p>
    <w:p>
      <w:pPr>
        <w:pStyle w:val="Corpsdetexte"/>
      </w:pPr>
      <w:r>
        <w:t xml:space="preserve">On the other survey questions, Class 2 fishes less often than average (median days 14.0, against 17.0 overall) and seldom fishes tournaments (1.3%, against 3.0% overall). It ice fishes less often than average (12.3%, against 17.7% overall) and is more satisfied than average (mean 2.1, against 2.3 overall). Together with Class 6 it has the highest share of women of any profile (28.2%, and 28.1% in Class 6, against 19.5% overall). Its species mix leans toward No preference (27.0% of the profile, against 17.7% of all assigned respondents), so differences on questions that vary by species may partly reflect that mix rather than the profile itself.</w:t>
      </w:r>
    </w:p>
    <w:bookmarkEnd w:id="90"/>
    <w:bookmarkStart w:id="91" w:name="Xe396c5be7e9d2f3f9e19200ee61fcb908f936b9"/>
    <w:p>
      <w:pPr>
        <w:pStyle w:val="Titre3"/>
      </w:pPr>
      <w:r>
        <w:t xml:space="preserve">Class 3: The regulation-savvy catch-and-release sport angler</w:t>
      </w:r>
    </w:p>
    <w:p>
      <w:pPr>
        <w:jc w:val="center"/>
        <w:pStyle w:val="Figure"/>
      </w:pPr>
      <w:r>
        <w:rPr/>
        <w:drawing>
          <wp:inline distT="0" distB="0" distL="0" distR="0">
            <wp:extent cx="5943600" cy="324612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84"/>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3: The regulation-savvy catch-and-release sport angler</w:t>
      </w:r>
    </w:p>
    <w:p>
      <w:pPr>
        <w:pStyle w:val="Corpsdetexte"/>
      </w:pPr>
      <w:r>
        <w:t xml:space="preserve">Class 3 holds 15.9% of respondents (n = 292). It is above average on size (3.7, +0.56 SD) and on needing a catch (3.1), but below average on harvest (1.9): it wants a fish on the line, preferably a good one, and then lets it go. Its motivations are at or slightly below average (social 3.3, -0.39 SD). It is strongly engaged with regulations, with high comprehension (4.2, +0.71 SD), high support for site-specific rules (4.5, +0.76 SD), and a low preference for uniform rules (2.5, -0.68 SD). Picture an angler, often a bass angler, who reads the regulations and values rules tailored to each lake. Class 3 makes up 23.0% ± 4.8 of Bass, 24.0% ± 5.2 of Largemouth bass and 24.1% ± 13.1 of Flathead catfish anglers, against 15.9% overall.</w:t>
      </w:r>
    </w:p>
    <w:p>
      <w:pPr>
        <w:pStyle w:val="Corpsdetexte"/>
      </w:pPr>
      <w:r>
        <w:t xml:space="preserve">On the other survey questions, Class 3 fishes more often than average (mean days 35.6, against 30.2 overall; median 24.0, against 17.0 overall). It has the highest rate of hiring a guide of any profile (13.9%, against 8.1% overall) and the highest use of private areas (35.0%, against 28.6% overall); its tournament participation is close to the overall rate (4.0%, against 3.0% overall). Its median distance to its most visited water is 16 miles, against 30 overall, and it has the lowest share of women of any profile (12.7%, against 19.5% overall). Its species mix leans toward Bass (30.0% of the profile, against 21.0% of all assigned respondents), so differences on questions that vary by species may partly reflect that mix rather than the profile itself.</w:t>
      </w:r>
    </w:p>
    <w:bookmarkEnd w:id="91"/>
    <w:bookmarkStart w:id="92" w:name="class-4-the-all-in-enthusiast"/>
    <w:p>
      <w:pPr>
        <w:pStyle w:val="Titre3"/>
      </w:pPr>
      <w:r>
        <w:t xml:space="preserve">Class 4: The all-in enthusiast</w:t>
      </w:r>
    </w:p>
    <w:p>
      <w:pPr>
        <w:jc w:val="center"/>
        <w:pStyle w:val="Figure"/>
      </w:pPr>
      <w:r>
        <w:rPr/>
        <w:drawing>
          <wp:inline distT="0" distB="0" distL="0" distR="0">
            <wp:extent cx="5943600" cy="324612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85"/>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4: The all-in enthusiast</w:t>
      </w:r>
    </w:p>
    <w:p>
      <w:pPr>
        <w:pStyle w:val="Corpsdetexte"/>
      </w:pPr>
      <w:r>
        <w:t xml:space="preserve">Class 4 holds 18.2% of respondents (n = 286). It has the highest score of any profile on all four motivations: challenge and relaxation (4.2, +1.15 SD), outdoors (4.5, +1.04 SD), social (4.4, +0.98 SD), and catch outcomes (3.2, +1.05 SD). It is also the most size-oriented profile (3.9, +0.74 SD) and is above average on numbers (3.5), with average scores on needing a catch (2.7) and on harvest (2.1). Its support for site-specific rules is above average (4.1). The catch-outcomes scale, on which no other profile scores as high, includes competing for prizes or money. Picture the angler for whom fishing is a central hobby: every reason to go matters, trophies and tournament competition included. Class 4 makes up 35.2% ± 11.5 of Moronides and 33.8% ± 15.7 of Smallmouth bass anglers, against 18.2% overall.</w:t>
      </w:r>
    </w:p>
    <w:p>
      <w:pPr>
        <w:pStyle w:val="Corpsdetexte"/>
      </w:pPr>
      <w:r>
        <w:t xml:space="preserve">On the other survey questions, Class 4 is the most active profile and the one most likely to fish tournaments (5.3%, against 3.0% overall), although tournament anglers remain a small share of it. It has the highest mean days fished (45.4, against 30.2 overall) and median days fished (31.0, against 17.0 overall), and the highest rates of any profile for using a kayak or canoe (24.2%, against 17.7% overall), ice fishing (24.3%, against 17.7% overall), fishing rivers and streams (47.4%, against 36.0% overall), fishing waters that require a Park Entry Permit (77.0%, against 69.0% overall), fishing outside Nebraska (54.9%, against 44.1% overall) and using live-imaging sonar (21.4%, against 14.5% overall). It is also the youngest profile (mean age 39.2, against 46.0 overall). Its species mix leans toward Moronides (10.5% of the profile, against 5.2% of all assigned respondents), so differences on questions that vary by species may partly reflect that mix rather than the profile itself.</w:t>
      </w:r>
    </w:p>
    <w:bookmarkEnd w:id="92"/>
    <w:bookmarkStart w:id="93" w:name="class-5-the-low-involvement-angler"/>
    <w:p>
      <w:pPr>
        <w:pStyle w:val="Titre3"/>
      </w:pPr>
      <w:r>
        <w:t xml:space="preserve">Class 5: The low-involvement angler</w:t>
      </w:r>
    </w:p>
    <w:p>
      <w:pPr>
        <w:jc w:val="center"/>
        <w:pStyle w:val="Figure"/>
      </w:pPr>
      <w:r>
        <w:rPr/>
        <w:drawing>
          <wp:inline distT="0" distB="0" distL="0" distR="0">
            <wp:extent cx="5943600" cy="324612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86"/>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5: The low-involvement angler</w:t>
      </w:r>
    </w:p>
    <w:p>
      <w:pPr>
        <w:pStyle w:val="Corpsdetexte"/>
      </w:pPr>
      <w:r>
        <w:t xml:space="preserve">Class 5 holds 13.4% of respondents (n = 311). It has the lowest score of any profile on all four motivations: challenge and relaxation (2.2, -1.33 SD), outdoors (2.6, -1.37 SD), social (2.6, -1.22 SD), and catch outcomes (1.9, -0.92 SD). It is near average on needing a catch (2.9) and on harvest (2.3), below average on numbers (2.9, -0.27 SD) and size (2.9, -0.50 SD), and close to average on the three regulation scales. Picture a licence holder for whom fishing is incidental rather than a pursuit in its own right. Uniformly low importance ratings can also reflect how a respondent uses the rating scale. Class 5 makes up 19.7% ± 4.7 of No preference anglers, against 13.4% overall.</w:t>
      </w:r>
    </w:p>
    <w:p>
      <w:pPr>
        <w:pStyle w:val="Corpsdetexte"/>
      </w:pPr>
      <w:r>
        <w:t xml:space="preserve">On the other survey questions, Class 5 is the least active profile. It has the lowest mean days fished (17.4, against 30.2 overall) and median days fished (7.0, against 17.0 overall), and the lowest rates of any profile for using a kayak or canoe (8.4%, against 17.7% overall), ice fishing (9.4%, against 17.7% overall), fishing rivers and streams (25.4%, against 36.0% overall), fishing waters that require a Park Entry Permit (55.7%, against 69.0% overall), fishing outside Nebraska (28.9%, against 44.1% overall) and using live-imaging sonar (7.7%, against 14.5% overall). It is the oldest profile (mean age 52.4, against 46.0 overall). Its species mix leans toward No preference (26.3% of the profile, against 17.7% of all assigned respondents), so differences on questions that vary by species may partly reflect that mix rather than the profile itself.</w:t>
      </w:r>
    </w:p>
    <w:bookmarkEnd w:id="93"/>
    <w:bookmarkStart w:id="94" w:name="class-6-the-conservation-minded-purist"/>
    <w:p>
      <w:pPr>
        <w:pStyle w:val="Titre3"/>
      </w:pPr>
      <w:r>
        <w:t xml:space="preserve">Class 6: The conservation-minded purist</w:t>
      </w:r>
    </w:p>
    <w:p>
      <w:pPr>
        <w:jc w:val="center"/>
        <w:pStyle w:val="Figure"/>
      </w:pPr>
      <w:r>
        <w:rPr/>
        <w:drawing>
          <wp:inline distT="0" distB="0" distL="0" distR="0">
            <wp:extent cx="5943600" cy="324612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87"/>
                    <a:stretch>
                      <a:fillRect/>
                    </a:stretch>
                  </pic:blipFill>
                  <pic:spPr bwMode="auto">
                    <a:xfrm>
                      <a:off x="0" y="0"/>
                      <a:ext cx="5943600" cy="3246120"/>
                    </a:xfrm>
                    <a:prstGeom prst="rect">
                      <a:avLst/>
                    </a:prstGeom>
                    <a:noFill/>
                  </pic:spPr>
                </pic:pic>
              </a:graphicData>
            </a:graphic>
          </wp:inline>
        </w:drawing>
      </w:r>
    </w:p>
    <w:p>
      <w:pPr>
        <w:pStyle w:val="FirstParagraph"/>
      </w:pPr>
      <w:r>
        <w:rPr>
          <w:i/>
          <w:iCs/>
        </w:rPr>
        <w:t xml:space="preserve">Class 6: The conservation-minded purist</w:t>
      </w:r>
    </w:p>
    <w:p>
      <w:pPr>
        <w:pStyle w:val="Corpsdetexte"/>
      </w:pPr>
      <w:r>
        <w:t xml:space="preserve">Class 6 holds 6.0% of respondents (n = 120), the smallest profile. It has the lowest score of any profile on all four catch attitudes: catch something 1.8, numbers 1.9 (-1.58 SD), size 2.4, harvest 1.6; catching and keeping fish are close to irrelevant to it. It is motivated by the outdoors (4.1) and by social reasons (3.9) but not by catch outcomes (2.1). It has the highest comprehension of the rules (4.5) and support for site-specific rules (4.7) of any profile, and the lowest preference for uniform rules (2.4). Picture someone who values the experience and well-managed waters over the catch. Class 6 makes up 1.7% ± 1.3 of Walleye / Sauger anglers and none of the 85 Moronides respondents; its largest share of any displayed row is 13.8% ± 11.5 of Bluegill / Sunfish anglers.</w:t>
      </w:r>
    </w:p>
    <w:p>
      <w:pPr>
        <w:pStyle w:val="Corpsdetexte"/>
      </w:pPr>
      <w:r>
        <w:t xml:space="preserve">On the other survey questions, Class 6 fishes less often than average (median days 13.0, against 17.0 overall) and has the lowest rates of any profile for fishing tournaments (0.6%, against 3.0% overall), hiring a guide (4.6%, against 8.1% overall) and fishing from a motorized boat (40.6%, against 51.1% overall). Its median distance to its most visited water is 16 miles, against 30 overall. It reports the highest overall satisfaction of any profile (mean 1.7, against 2.3 overall, where lower means more satisfied), and, with Class 2, the highest share of women (28.1%, against 19.5% overall). With 120 respondents it is the smallest profile, and most of its intervals in the table are correspondingly wide. Its species mix leans toward No preference (28.2% of the profile, against 17.7% of all assigned respondents), Panfish / Sunfish (17.9% of the profile, against 10.7% of all assigned respondents), and Bass (26.5% of the profile, against 21.0% of all assigned respondents), so differences on questions that vary by species may partly reflect that mix rather than the profile itself.</w:t>
      </w:r>
    </w:p>
    <w:p>
      <w:pPr>
        <w:sectPr>
          <w:pgMar w:header="708" w:bottom="1417" w:top="1417" w:right="1417" w:left="1417" w:footer="708" w:gutter="0"/>
          <w:pgSz w:h="16838" w:w="11906" w:orient="portrait"/>
          <w:type w:val="nextPage"/>
          <w:cols/>
        </w:sectPr>
      </w:pPr>
    </w:p>
    <w:bookmarkEnd w:id="94"/>
    <w:bookmarkEnd w:id="95"/>
    <w:bookmarkStart w:id="96" w:name="profiles-by-preferred-species"/>
    <w:p>
      <w:pPr>
        <w:pStyle w:val="Titre2"/>
      </w:pPr>
      <w:r>
        <w:t xml:space="preserve">Profiles by preferred species</w:t>
      </w:r>
    </w:p>
    <w:p>
      <w:pPr>
        <w:pStyle w:val="FirstParagraph"/>
      </w:pPr>
      <w:r>
        <w:t xml:space="preserve">The table below gives, for each preferred-species row, the weighted percentage of its respondents assigned to each profile, with Unassigned as a column so that each row sums to 100. The rows overlap, as elsewhere in this report, and must not be totalled. Where a row has no respondents in a profile, the percentage is 0.0 and the interval has zero width. Preferred-species rows below the effective-N floor of 30 are not shown (4 rows): Yellow perch (12 respondents, effective N 11.1); Blue catfish (27 respondents, effective N 22.6); Northern pike (32 respondents, effective N 26.9); Muskellunge / Tiger musky (8 respondents, effective N 7.3). Their respondents are included in the model fit and in the Overall row. This is the only chapter of the report that withholds rows; the effective-N floor was set before the model was fitted.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3" name=""/>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76"/>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5" name=""/>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77"/>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7" name=""/>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78"/>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69" name=""/>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79"/>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1" name=""/>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80"/>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drawing>
                <wp:inline distT="0" distB="0" distL="0" distR="0">
                  <wp:extent cx="320040" cy="320040"/>
                  <wp:docPr id="173" name=""/>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81"/>
                          <a:srcRect/>
                          <a:stretch>
                            <a:fillRect/>
                          </a:stretch>
                        </pic:blipFill>
                        <pic:spPr bwMode="auto">
                          <a:xfrm>
                            <a:off x="0" y="0"/>
                            <a:ext cx="320040" cy="320040"/>
                          </a:xfrm>
                          <a:prstGeom prst="rect">
                            <a:avLst/>
                          </a:prstGeom>
                          <a:noFill/>
                        </pic:spPr>
                      </pic:pic>
                    </a:graphicData>
                  </a:graphic>
                </wp:inline>
              </w:drawing>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c>
          <w:tcPr>
            <w:tcBorders>
              <w:bottom w:val="none" w:sz="0"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center"/>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w:r>
          </w:p>
        </w:tc>
      </w:tr>
      <w:tr>
        <w:trPr>
          <w:trHeight w:val="360" w:hRule="auto"/>
          <w:tblHeader/>
        </w:trPr>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1</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2</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3</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4</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5</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Class 6</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1.87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15.72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8.18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7.09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4.82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5.98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11.25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8.43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7.74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9.57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6.97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7.97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4.72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3.95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bl>
    <w:p>
      <w:pPr>
        <w:pStyle w:val="Corpsdetexte"/>
      </w:pPr>
      <w:r>
        <w:t xml:space="preserve">The figure below shows the profile makeup of each family group against the Overall share of each profile. Unassigned respondents, between 9.5 and 17.0 percent of each family group, are not shown, so the bars in a panel sum to less than 100. Northern pike and muskellunge are reported as individual species rather than as a family group and are not in the figure.</w:t>
      </w:r>
    </w:p>
    <w:p>
      <w:pPr>
        <w:jc w:val="center"/>
        <w:pStyle w:val="Figure"/>
      </w:pPr>
      <w:r>
        <w:rPr/>
        <w:drawing>
          <wp:inline distT="0" distB="0" distL="0" distR="0">
            <wp:extent cx="8229600" cy="50292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88"/>
                    <a:stretch>
                      <a:fillRect/>
                    </a:stretch>
                  </pic:blipFill>
                  <pic:spPr bwMode="auto">
                    <a:xfrm>
                      <a:off x="0" y="0"/>
                      <a:ext cx="8229600" cy="5029200"/>
                    </a:xfrm>
                    <a:prstGeom prst="rect">
                      <a:avLst/>
                    </a:prstGeom>
                    <a:noFill/>
                  </pic:spPr>
                </pic:pic>
              </a:graphicData>
            </a:graphic>
          </wp:inline>
        </w:drawing>
      </w:r>
    </w:p>
    <w:bookmarkEnd w:id="96"/>
    <w:bookmarkStart w:id="97" w:name="profile-makeup-of-family-group-anglers"/>
    <w:p>
      <w:pPr>
        <w:pStyle w:val="Titre2"/>
      </w:pPr>
      <w:r>
        <w:t xml:space="preserve">Profile makeup of family-group anglers</w:t>
      </w:r>
    </w:p>
    <w:p>
      <w:pPr>
        <w:pStyle w:val="FirstParagraph"/>
      </w:pPr>
      <w:r>
        <w:t xml:space="preserve">Every family group contains anglers of all six profiles, with one exception: none of the Moronides respondents fall in Class 6. No family group is dominated by a single profile; the largest share of any profile in any family group is Class 4 among Moronides anglers (35.2% ± 11.5). Managing for any one species therefore means serving a mix of angler types, and the differences described in the cards below are differences of emphasis rather than of kind. Each card shows one family group’s weighted percentage in each profile, with 95 percent confidence intervals, on a common scale; the icons along the bottom mark the profiles, and the dashed mark is the Overall share of that profile.</w:t>
      </w:r>
    </w:p>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Walleye / Sauger</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7" name=""/>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89"/>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Walleye / Sauger anglers, the largest family group (n = 499), lean toward Class 1, the harvest-minded, keep-it-simple angler (26.3% ± 4.3 against 18.3% overall), and include very few Class 6 purists (1.7% ± 1.3 against 6.0% overall). For walleye management this points to a constituency for whom harvest opportunity matters and for whom waterbody-specific length and bag limits may be a source of confusion; clear, consistent regulations and plain-language communication of any lake-specific rules are likely to matter as much as the rules themselves.</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Bass</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Bass anglers (n = 357) show the opposite regulatory lean to Walleye / Sauger anglers. Class 3, the regulation-savvy catch-and-release angler, is their largest profile (23.0% ± 4.8 against 15.9% overall), and Class 1 is less common among them (12.5% ± 3.8 against 18.3% overall). This is the family group whose makeup most favours understanding and supporting site-specific rules, which suggests bass anglers are a receptive audience for special length limits or catch-and-release rules tailored to individual waters.</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79" name=""/>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90"/>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Panfish / Sunfish</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1" name=""/>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91"/>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Panfish / Sunfish anglers (n = 236) combine two contrasting profiles: Class 1 harvest-minded anglers (23.0% ± 6.0 against 18.3% overall) and Class 6 conservation-minded purists (10.0% ± 4.3 against 6.0% overall) are both more common than overall, while Class 2 is less common (10.4% ± 4.4 against 16.7% overall). Panfish management may therefore need to balance harvest opportunity for the larger group with the experience-focused, rules-engaged values of the smaller one.</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Catfish</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Catfish anglers (n = 228) are the closest to the angler population as a whole: no profile's share among them differs from its Overall share by 5 percentage points or more. In profile terms catfish anglers look much like Nebraska anglers generally, so catfish management is in effect management for the general angler.</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3" name=""/>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92"/>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Moronides</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5" name=""/>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93"/>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Moronides anglers (striped bass, wiper and white bass) have the most concentrated makeup: Class 4, the all-in enthusiast, makes up 35.2% ± 11.5 against 18.2% overall, and none of them fall in Class 6. The group is small (n = 85) and the interval is wide, but the lean suggests a highly engaged, trip-intensive and trophy-oriented constituency for whom reservoir fishing quality matters, and who may be reached effectively through angler clubs and events.</w:t>
            </w:r>
          </w:p>
        </w:tc>
      </w:tr>
    </w:tbl>
    <w:tbl xmlns:w14="http://schemas.microsoft.com/office/word/2010/wordml">
      <w:tblPr>
        <w:tblLayout w:type="fixed"/>
        <w:jc w:val="start"/>
        <w:tblLook w:firstRow="1" w:lastRow="0" w:firstColumn="0" w:lastColumn="0" w:noHBand="0" w:noVBand="1"/>
      </w:tblPr>
      <w:tblGrid>
        <w:gridCol w:w="7056"/>
        <w:gridCol w:w="5904"/>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Trout</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Trout anglers lean toward Class 2, the relaxed, catch-optional angler (22.6% ± 9.8 against 16.7% overall), with fewer Class 3 anglers (9.8% ± 7.0 against 15.9% overall); with 90 respondents these intervals are wide. The lean fits a stocked fishery valued for the outing, where access, the timing of stockings and a pleasant setting may matter more than catch rates or trophy potential.</w:t>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7" name=""/>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94"/>
                          <a:srcRect/>
                          <a:stretch>
                            <a:fillRect/>
                          </a:stretch>
                        </pic:blipFill>
                        <pic:spPr bwMode="auto">
                          <a:xfrm>
                            <a:off x="0" y="0"/>
                            <a:ext cx="3657600" cy="2560320"/>
                          </a:xfrm>
                          <a:prstGeom prst="rect">
                            <a:avLst/>
                          </a:prstGeom>
                          <a:noFill/>
                        </pic:spPr>
                      </pic:pic>
                    </a:graphicData>
                  </a:graphic>
                </wp:inline>
              </w:drawing>
            </w:r>
          </w:p>
        </w:tc>
      </w:tr>
    </w:tbl>
    <w:tbl xmlns:w14="http://schemas.microsoft.com/office/word/2010/wordml">
      <w:tblPr>
        <w:tblLayout w:type="fixed"/>
        <w:jc w:val="start"/>
        <w:tblLook w:firstRow="1" w:lastRow="0" w:firstColumn="0" w:lastColumn="0" w:noHBand="0" w:noVBand="1"/>
      </w:tblPr>
      <w:tblGrid>
        <w:gridCol w:w="5904"/>
        <w:gridCol w:w="7056"/>
      </w:tblGrid>
      <w:tr>
        <w:trPr>
          <w:trHeight w:val="360" w:hRule="auto"/>
          <w:tblHeader/>
        </w:trPr>
        <w:tc>
          <w:tcPr>
            <w:gridSpan w:val="2"/>
            <w:tcBorders>
              <w:bottom w:val="single" w:sz="6" w:space="0" w:color="999999"/>
              <w:top w:val="single" w:sz="12" w:space="0" w:color="000000"/>
              <w:left w:val="single" w:sz="12" w:space="0" w:color="000000"/>
              <w:right w:val="single" w:sz="12"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4"/>
                <w:szCs w:val="24"/>
                <w:color w:val="000000"/>
              </w:rPr>
            </w:pPr>
            <w:r>
              <w:rPr>
                <w:rFonts w:ascii="Arial" w:hAnsi="Arial" w:eastAsia="Arial" w:cs="Arial"/>
                <w:i w:val="false"/>
                <w:b w:val="true"/>
                <w:u w:val="none"/>
                <w:strike w:val="false"/>
                <w:sz w:val="24"/>
                <w:szCs w:val="24"/>
                <w:color w:val="000000"/>
              </w:rPr>
              <w:t xml:space="preserve">No preference</w:t>
            </w:r>
          </w:p>
        </w:tc>
      </w:tr>
      <w:tr>
        <w:trPr>
          <w:trHeight w:val="360" w:hRule="auto"/>
        </w:trPr>
        <w:tc>
          <w:tcPr>
            <w:tcBorders>
              <w:bottom w:val="single" w:sz="12" w:space="0" w:color="000000"/>
              <w:top w:val="single" w:sz="6" w:space="0" w:color="999999"/>
              <w:left w:val="single" w:sz="12"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drawing>
                <wp:inline distT="0" distB="0" distL="0" distR="0">
                  <wp:extent cx="3657600" cy="2560320"/>
                  <wp:docPr id="189" name=""/>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95"/>
                          <a:srcRect/>
                          <a:stretch>
                            <a:fillRect/>
                          </a:stretch>
                        </pic:blipFill>
                        <pic:spPr bwMode="auto">
                          <a:xfrm>
                            <a:off x="0" y="0"/>
                            <a:ext cx="3657600" cy="2560320"/>
                          </a:xfrm>
                          <a:prstGeom prst="rect">
                            <a:avLst/>
                          </a:prstGeom>
                          <a:noFill/>
                        </pic:spPr>
                      </pic:pic>
                    </a:graphicData>
                  </a:graphic>
                </wp:inline>
              </w:drawing>
            </w:r>
          </w:p>
        </w:tc>
        <w:tc>
          <w:tcPr>
            <w:tcBorders>
              <w:bottom w:val="single" w:sz="12" w:space="0" w:color="000000"/>
              <w:top w:val="single" w:sz="6" w:space="0" w:color="999999"/>
              <w:left w:val="none" w:sz="0" w:space="0" w:color="000000"/>
              <w:right w:val="single" w:sz="12"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Anglers with no preferred species (n = 339) are the group most weighted toward the less committed profiles: Class 2 (25.2% ± 5.2 against 16.7% overall) and Class 5, the low-involvement angler (19.7% ± 4.7 against 13.4% overall), are both more common than overall, and Class 1 is less common (10.8% ± 3.7 against 18.3% overall). These anglers are a natural focus for recruitment, retention and reactivation efforts, where convenience, easy access and general information are more likely to reach them than species-specific regulation.</w:t>
            </w:r>
          </w:p>
        </w:tc>
      </w:tr>
    </w:tbl>
    <w:p>
      <w:pPr>
        <w:pStyle w:val="Corpsdetexte"/>
      </w:pPr>
      <w:r>
        <w:t xml:space="preserve">These implications are interpretive. The profiles are built from attitude, motivation and regulation scales, not from behaviour, and the shares are associations: preferring a species does not place an angler in a profile, nor the reverse. Differences of less than about 5 percentage points are within the precision of these estimates for most family groups, and the Moronides and Trout groups are small enough that their intervals reach ±11.5 points.</w:t>
      </w:r>
    </w:p>
    <w:p>
      <w:pPr>
        <w:sectPr>
          <w:pgMar w:header="708" w:bottom="1417" w:top="1417" w:right="1417" w:left="1417" w:footer="708" w:gutter="0"/>
          <w:pgSz w:h="11906" w:w="16838" w:orient="landscape"/>
          <w:type w:val="nextPage"/>
          <w:cols/>
        </w:sectPr>
      </w:pPr>
    </w:p>
    <w:bookmarkEnd w:id="97"/>
    <w:bookmarkEnd w:id="98"/>
    <w:bookmarkStart w:id="99" w:name="Xbf0d53dc12cea4ebeaf345348a1370e6595a36a"/>
    <w:p>
      <w:pPr>
        <w:pStyle w:val="Titre1"/>
      </w:pPr>
      <w:r>
        <w:t xml:space="preserve">Appendix A - Nebraska Licensed Angler Survey (Paper Version)</w:t>
      </w:r>
    </w:p>
    <w:p>
      <w:pPr>
        <w:pStyle w:val="FirstParagraph"/>
      </w:pPr>
      <w:r>
        <w:br w:type="page"/>
      </w:r>
    </w:p>
    <w:bookmarkEnd w:id="99"/>
    <w:bookmarkStart w:id="124" w:name="appendix-b---statistical-methodology"/>
    <w:p>
      <w:pPr>
        <w:pStyle w:val="Titre1"/>
      </w:pPr>
      <w:r>
        <w:t xml:space="preserve">Appendix B - Statistical Methodology</w:t>
      </w:r>
    </w:p>
    <w:bookmarkStart w:id="100"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100"/>
    <w:bookmarkStart w:id="101"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101"/>
    <w:bookmarkStart w:id="102"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of the population-scaling difference noted above: 2025</w:t>
      </w:r>
      <w:r>
        <w:t xml:space="preserve"> </w:t>
      </w:r>
      <w:r>
        <w:t xml:space="preserve">weights sum to roughly 234,000 with a mean weight around 83. Using the</w:t>
      </w:r>
      <w:r>
        <w:t xml:space="preserve"> </w:t>
      </w:r>
      <w:r>
        <w:t xml:space="preserve">raw sum of weights as the CI denominator would make intervals roughly 9x too</w:t>
      </w:r>
      <w:r>
        <w:t xml:space="preserve"> </w:t>
      </w:r>
      <w:r>
        <w:t xml:space="preserve">tight. The Kish effective sample size</w:t>
      </w:r>
      <w:r>
        <w:t xml:space="preserve"> </w:t>
      </w:r>
      <w:r>
        <w:t xml:space="preserve">corrects for this by accounting for the variance introduced by unequal</w:t>
      </w:r>
      <w:r>
        <w:t xml:space="preserve"> </w:t>
      </w:r>
      <w:r>
        <w:t xml:space="preserve">weighting (the</w:t>
      </w:r>
      <w:r>
        <w:t xml:space="preserve"> </w:t>
      </w:r>
      <w:r>
        <w:t xml:space="preserve">“design effect”</w:t>
      </w:r>
      <w:r>
        <w:t xml:space="preserve">).</w:t>
      </w:r>
    </w:p>
    <w:bookmarkEnd w:id="102"/>
    <w:bookmarkStart w:id="103"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103"/>
    <w:bookmarkStart w:id="104"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104"/>
    <w:bookmarkStart w:id="105"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105"/>
    <w:bookmarkStart w:id="106"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106"/>
    <w:bookmarkStart w:id="107"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107"/>
    <w:bookmarkStart w:id="108"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108"/>
    <w:bookmarkStart w:id="109"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rather than a variance correction. With</w:t>
      </w:r>
      <w:r>
        <w:t xml:space="preserve"> </w:t>
      </w:r>
      <w:r>
        <w:t xml:space="preserve">independent sampling units, the linearized standard errors that</w:t>
      </w:r>
      <w:r>
        <w:t xml:space="preserve"> </w:t>
      </w:r>
      <w:r>
        <w:rPr>
          <w:b/>
          <w:bCs/>
        </w:rPr>
        <w:t xml:space="preserve">survey</w:t>
      </w:r>
      <w:r>
        <w:t xml:space="preserve"> </w:t>
      </w:r>
      <w:r>
        <w:t xml:space="preserve">computes are scale-invariant in the weights: the raw weights and the rescaled</w:t>
      </w:r>
      <w:r>
        <w:t xml:space="preserve"> </w:t>
      </w:r>
      <w:r>
        <w:t xml:space="preserve">weights give identical standard errors and identical degrees of freedom. The</w:t>
      </w:r>
      <w:r>
        <w:t xml:space="preserve"> </w:t>
      </w:r>
      <w:r>
        <w:t xml:space="preserve">“roughly 9x too tight”</w:t>
      </w:r>
      <w:r>
        <w:t xml:space="preserve"> </w:t>
      </w:r>
      <w:r>
        <w:t xml:space="preserve">problem described under percentage confidence intervals</w:t>
      </w:r>
      <w:r>
        <w:t xml:space="preserve"> </w:t>
      </w:r>
      <w:r>
        <w:t xml:space="preserve">above belongs specifically to the manual sum-of-weights calculation that the</w:t>
      </w:r>
      <w:r>
        <w:t xml:space="preserve"> </w:t>
      </w:r>
      <w:r>
        <w:t xml:space="preserve">Kish effective sample size corrects, and it does</w:t>
      </w:r>
      <w:r>
        <w:t xml:space="preserve"> </w:t>
      </w:r>
      <w:r>
        <w:rPr>
          <w:b/>
          <w:bCs/>
        </w:rPr>
        <w:t xml:space="preserve">not</w:t>
      </w:r>
      <w:r>
        <w:t xml:space="preserve"> </w:t>
      </w:r>
      <w:r>
        <w:t xml:space="preserve">carry over to the</w:t>
      </w:r>
      <w:r>
        <w:t xml:space="preserve"> </w:t>
      </w:r>
      <w:r>
        <w:t xml:space="preserve">design objects used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109"/>
    <w:bookmarkStart w:id="110"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110"/>
    <w:bookmarkStart w:id="111"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11"/>
    <w:bookmarkStart w:id="112"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Seventeen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17 overlapping groups rather than across independent observations.</w:t>
      </w:r>
    </w:p>
    <w:p>
      <w:pPr>
        <w:pStyle w:val="Corpsdetexte"/>
      </w:pPr>
      <w:r>
        <w:t xml:space="preserve">The reliability coefficient quoted in Chapter 4 is a weighted raw alpha for the four D4 satisfaction items. It is reported for reference only; no composite score is constructed anywhere in this report, which is item-level throughout.</w:t>
      </w:r>
    </w:p>
    <w:bookmarkEnd w:id="112"/>
    <w:bookmarkStart w:id="122" w:name="angler-type-profiles-in-chapter-5"/>
    <w:p>
      <w:pPr>
        <w:pStyle w:val="Titre2"/>
      </w:pPr>
      <w:r>
        <w:t xml:space="preserve">Angler type profiles in Chapter 5</w:t>
      </w:r>
    </w:p>
    <w:bookmarkStart w:id="113" w:name="the-model"/>
    <w:p>
      <w:pPr>
        <w:pStyle w:val="Titre3"/>
      </w:pPr>
      <w:r>
        <w:t xml:space="preserve">The model</w:t>
      </w:r>
    </w:p>
    <w:p>
      <w:pPr>
        <w:pStyle w:val="FirstParagraph"/>
      </w:pPr>
      <w:r>
        <w:t xml:space="preserve">Chapter 5 groups anglers using a latent profile analysis, a finite mixture model in which each respondent is assumed to belong to one of a number of unobserved profiles and, within a profile, each indicator is normally distributed. The indicators are the eleven scale scores reported in Chapter 3: the four angler-attitude scales, the four motivation scales, and the three regulation scales. Within each profile the eleven indicators are treated as uncorrelated, so each profile is described by eleven means and a set of variances.</w:t>
      </w:r>
    </w:p>
    <w:p>
      <w:pPr>
        <w:pStyle w:val="Corpsdetexte"/>
      </w:pPr>
      <w:r>
        <w:t xml:space="preserve">Models were fitted with the tidySEM package (version 0.2.12), function mx_profiles(), which estimates by maximum likelihood in OpenMx (version 2.22.11). tidySEM obtains starting values from a k-means partition, refines them by simulated annealing, and then runs gradient-based optimization. A fixed random seed (5813) is set before each model so the fits are reproducible. Starting values come from a single k-means run, and the sensitivity of the solution to other starting values has not been examined.</w:t>
      </w:r>
    </w:p>
    <w:bookmarkEnd w:id="113"/>
    <w:bookmarkStart w:id="114" w:name="who-was-fitted"/>
    <w:p>
      <w:pPr>
        <w:pStyle w:val="Titre3"/>
      </w:pPr>
      <w:r>
        <w:t xml:space="preserve">Who was fitted</w:t>
      </w:r>
    </w:p>
    <w:p>
      <w:pPr>
        <w:pStyle w:val="FirstParagraph"/>
      </w:pPr>
      <w:r>
        <w:t xml:space="preserve">Of the 1,915 respondents in the analysis sample, 1,718 (89.7 percent) answered at least 7 of the eleven scales and were included in the fit. The threshold was set before fitting. Where a fitted respondent is missing some scales, the model uses the scales that were answered (full-information maximum likelihood); no values are imputed. The remaining 197 respondents (78 who answered between 1 and 6 scales and 119 who answered none) are reported as Unassigned. They are not dropped: they remain in every Chapter 5 row, and Unassigned appears as its own column, so each row’s percentages are of all respondents in that row.</w:t>
      </w:r>
    </w:p>
    <w:p>
      <w:pPr>
        <w:pStyle w:val="Corpsdetexte"/>
      </w:pPr>
      <w:r>
        <w:t xml:space="preserve">Each scale score carries the completeness gate described under Scale scores and the completeness gate above, so the scores entering the model are the same values summarized in the Chapter 5 profile figures and profile means table.</w:t>
      </w:r>
    </w:p>
    <w:bookmarkEnd w:id="114"/>
    <w:bookmarkStart w:id="115" w:name="choosing-the-number-of-profiles-1"/>
    <w:p>
      <w:pPr>
        <w:pStyle w:val="Titre3"/>
      </w:pPr>
      <w:r>
        <w:t xml:space="preserve">Choosing the number of profiles</w:t>
      </w:r>
    </w:p>
    <w:p>
      <w:pPr>
        <w:pStyle w:val="FirstParagraph"/>
      </w:pPr>
      <w:r>
        <w:t xml:space="preserve">Two within-profile variance structures were fitted: one in which every profile shares the same variance for a given indicator (equal), and one in which each profile has its own variances (varying). Under both structures, models with 1 to 6 profiles were fitted. The equal structure was then extended to 7 and 8 profiles because the Bayesian information criterion (BIC) was still decreasing at 6.</w:t>
      </w:r>
    </w:p>
    <w:p>
      <w:pPr>
        <w:pStyle w:val="Corpsdetexte"/>
      </w:pPr>
      <w:r>
        <w:t xml:space="preserve">The number of profiles was chosen by a stated convention rather than a statistical test: among all fitted models, the one with the lowest BIC, restricted to models in which the smallest profile holds at least 5 percent of fitted respondents and the relative entropy is at least 0.60. Only fits that OpenMx reports as converged (status code 0 or 1) are eligible. BIC is computed as</w:t>
      </w:r>
    </w:p>
    <w:p>
      <w:pPr>
        <w:pStyle w:val="Corpsdetexte"/>
      </w:pPr>
      <m:oMathPara>
        <m:oMathParaPr>
          <m:jc m:val="center"/>
        </m:oMathParaPr>
        <m:oMath>
          <m:r>
            <m:t>B</m:t>
          </m:r>
          <m:r>
            <m:t>I</m:t>
          </m:r>
          <m:r>
            <m:t>C</m:t>
          </m:r>
          <m:r>
            <m:rPr>
              <m:sty m:val="p"/>
            </m:rPr>
            <m:t>=</m:t>
          </m:r>
          <m:r>
            <m:rPr>
              <m:sty m:val="p"/>
            </m:rPr>
            <m:t>−</m:t>
          </m:r>
          <m:r>
            <m:t>2</m:t>
          </m:r>
          <m:r>
            <m:rPr>
              <m:sty m:val="p"/>
            </m:rPr>
            <m:t>log</m:t>
          </m:r>
          <m:r>
            <m:t>L</m:t>
          </m:r>
          <m:r>
            <m:rPr>
              <m:sty m:val="p"/>
            </m:rPr>
            <m:t>+</m:t>
          </m:r>
          <m:r>
            <m:t>p</m:t>
          </m:r>
          <m:r>
            <m:rPr>
              <m:sty m:val="p"/>
            </m:rPr>
            <m:t>ln</m:t>
          </m:r>
          <m:r>
            <m:rPr>
              <m:sty m:val="p"/>
            </m:rPr>
            <m:t>(</m:t>
          </m:r>
          <m:r>
            <m:t>n</m:t>
          </m:r>
          <m:r>
            <m:rPr>
              <m:sty m:val="p"/>
            </m:rPr>
            <m:t>)</m:t>
          </m:r>
        </m:oMath>
      </m:oMathPara>
    </w:p>
    <w:p>
      <w:pPr>
        <w:pStyle w:val="FirstParagraph"/>
      </w:pPr>
      <w:r>
        <w:t xml:space="preserve">with p the number of estimated parameters and n = 1,718. OpenMx’s default summary reports a different, degrees-of-freedom-adjusted BIC; it was not used. Relative entropy summarizes how distinctly respondents are assigned:</w:t>
      </w:r>
    </w:p>
    <w:p>
      <w:pPr>
        <w:pStyle w:val="Corpsdetexte"/>
      </w:pPr>
      <m:oMathPara>
        <m:oMathParaPr>
          <m:jc m:val="center"/>
        </m:oMathParaPr>
        <m:oMath>
          <m:r>
            <m:t>E</m:t>
          </m:r>
          <m:r>
            <m:rPr>
              <m:sty m:val="p"/>
            </m:rPr>
            <m:t>=</m:t>
          </m:r>
          <m:r>
            <m:t>1</m:t>
          </m:r>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r>
                        <m:rPr>
                          <m:sty m:val="p"/>
                        </m:rPr>
                        <m:t>−</m:t>
                      </m:r>
                    </m:e>
                  </m:nary>
                </m:e>
              </m:nary>
              <m:sSub>
                <m:e>
                  <m:acc>
                    <m:accPr>
                      <m:chr m:val="̂"/>
                    </m:accPr>
                    <m:e>
                      <m:r>
                        <m:t>p</m:t>
                      </m:r>
                    </m:e>
                  </m:acc>
                </m:e>
                <m:sub>
                  <m:r>
                    <m:t>i</m:t>
                  </m:r>
                  <m:r>
                    <m:t>j</m:t>
                  </m:r>
                </m:sub>
              </m:sSub>
              <m:r>
                <m:rPr>
                  <m:sty m:val="p"/>
                </m:rPr>
                <m:t>ln</m:t>
              </m:r>
              <m:sSub>
                <m:e>
                  <m:acc>
                    <m:accPr>
                      <m:chr m:val="̂"/>
                    </m:accPr>
                    <m:e>
                      <m:r>
                        <m:t>p</m:t>
                      </m:r>
                    </m:e>
                  </m:acc>
                </m:e>
                <m:sub>
                  <m:r>
                    <m:t>i</m:t>
                  </m:r>
                  <m:r>
                    <m:t>j</m:t>
                  </m:r>
                </m:sub>
              </m:sSub>
            </m:num>
            <m:den>
              <m:r>
                <m:t>n</m:t>
              </m:r>
              <m:r>
                <m:rPr>
                  <m:sty m:val="p"/>
                </m:rPr>
                <m:t>ln</m:t>
              </m:r>
              <m:r>
                <m:t>k</m:t>
              </m:r>
            </m:den>
          </m:f>
        </m:oMath>
      </m:oMathPara>
    </w:p>
    <w:p>
      <w:pPr>
        <w:pStyle w:val="FirstParagraph"/>
      </w:pPr>
      <w:r>
        <w:t xml:space="preserve">where p-hat(ij) is respondent i’s estimated probability of belonging to profile j and k is the number of profiles. It runs from 0 to 1, with 1 indicating that every respondent is assigned with certainty.</w:t>
      </w:r>
    </w:p>
    <w:p>
      <w:pPr>
        <w:pStyle w:val="Corpsdetexte"/>
      </w:pPr>
      <w:r>
        <w:t xml:space="preserve">The selected model has 6 profiles with equal variances: BIC 40,968.9, relative entropy 0.747, smallest profile 120 respondents (7.0 percent of those fitted). The full table of fitted models is given in Chapter 5.</w:t>
      </w:r>
    </w:p>
    <w:bookmarkEnd w:id="115"/>
    <w:bookmarkStart w:id="116" w:name="models-that-were-fitted-but-not-eligible"/>
    <w:p>
      <w:pPr>
        <w:pStyle w:val="Titre3"/>
      </w:pPr>
      <w:r>
        <w:t xml:space="preserve">Models that were fitted but not eligible</w:t>
      </w:r>
    </w:p>
    <w:p>
      <w:pPr>
        <w:pStyle w:val="FirstParagraph"/>
      </w:pPr>
      <w:r>
        <w:t xml:space="preserve">Four fits had a lower BIC than the selected model and were excluded under the convention above. The 7- and 8-profile equal-variance models (BIC 40,774.7 and 40,717.5) converged, but their smallest profiles hold 4.1 and 3.3 percent of fitted respondents, below the 5 percent floor. Because BIC continued to decrease through 8 profiles, the selected model is the largest equal-variance model that satisfies the floor rather than the point at which BIC stops improving.</w:t>
      </w:r>
    </w:p>
    <w:p>
      <w:pPr>
        <w:pStyle w:val="Corpsdetexte"/>
      </w:pPr>
      <w:r>
        <w:t xml:space="preserve">The 5- and 6-profile varying-variance models (BIC 39,307.8 and 38,746.6) did not converge (OpenMx status code 6: first-order optimality conditions not met). Inspection showed the cause. In each, one profile (271 and 277 respondents) contains only respondents whose Site-specific regulation score is exactly 5, the top of the scale, among those who answered it (267 of 267 and 273 of 273). That profile’s variance on the indicator shrinks toward zero (estimates of 5.5e-06 and 3.6e-07). Because the normal likelihood increases without limit as a variance approaches zero, the lower BIC of these two models reflects that collapse rather than a better description of the data. A further optimization attempt was not made, since it would search the same unbounded region. Placing a lower bound on the variances was considered and not adopted, because it would change the model specification. Both fits are excluded.</w:t>
      </w:r>
    </w:p>
    <w:bookmarkEnd w:id="116"/>
    <w:bookmarkStart w:id="117" w:name="assigning-respondents-to-profiles"/>
    <w:p>
      <w:pPr>
        <w:pStyle w:val="Titre3"/>
      </w:pPr>
      <w:r>
        <w:t xml:space="preserve">Assigning respondents to profiles</w:t>
      </w:r>
    </w:p>
    <w:p>
      <w:pPr>
        <w:pStyle w:val="FirstParagraph"/>
      </w:pPr>
      <w:r>
        <w:t xml:space="preserve">Each fitted respondent is assigned to the profile with the highest estimated membership probability. Assignment is not certain: the average probability of the assigned profile among its members is at least 0.759 for every profile. Certainty also depends on how many scales a respondent answered. Mean assigned-profile probability is 0.839 for respondents who answered all eleven scales (1,373 respondents), 0.799 for respondents who answered ten (209 respondents), 0.722 for respondents who answered seven to nine (136 respondents); the share assigned with probability below 0.70 is 23.5, 32.1, 44.9 percent respectively. The profile numbers are arbitrary labels produced by the estimation and carry no order.</w:t>
      </w:r>
    </w:p>
    <w:bookmarkEnd w:id="117"/>
    <w:bookmarkStart w:id="118" w:name="weights"/>
    <w:p>
      <w:pPr>
        <w:pStyle w:val="Titre3"/>
      </w:pPr>
      <w:r>
        <w:t xml:space="preserve">Weights</w:t>
      </w:r>
    </w:p>
    <w:p>
      <w:pPr>
        <w:pStyle w:val="FirstParagraph"/>
      </w:pPr>
      <w:r>
        <w:t xml:space="preserve">The model is fitted without the survey weights: each fitted respondent contributes equally to the estimated profiles. Everything reported from the model is then weighted in the same way as the rest of this report. The share of each profile in each row is a weighted percentage with the Kish effective-N confidence interval, and the profile means in the Chapter 5 figures and profile means table are weighted means with the Kish effective-N confidence interval, computed from the assigned respondents. These weighted means are therefore not the same quantities as the unweighted means the model estimated for each profile. Whether the fitting software can carry survey weights into the estimation was not verified. The model diagnostics and the assignment-certainty table are unweighted model quantities.</w:t>
      </w:r>
    </w:p>
    <w:bookmarkEnd w:id="118"/>
    <w:bookmarkStart w:id="119" w:name="reporting-floor-for-species-rows"/>
    <w:p>
      <w:pPr>
        <w:pStyle w:val="Titre3"/>
      </w:pPr>
      <w:r>
        <w:t xml:space="preserve">Reporting floor for species rows</w:t>
      </w:r>
    </w:p>
    <w:p>
      <w:pPr>
        <w:pStyle w:val="FirstParagraph"/>
      </w:pPr>
      <w:r>
        <w:t xml:space="preserve">Chapter 5 is the only chapter of this report that withholds rows. Before the model was fitted, a floor of 30 on the Kish effective sample size was set for species rows, adopting the effective-sample-size element of the National Center for Health Statistics data presentation standards for proportions (Parker JD, Talih M, Malec DJ, et al. National Center for Health Statistics Data Presentation Standards for Proportions. Vital and Health Statistics, Series 2, No. 175. 2017). Only that element is adopted: the NCHS standard also calls for a raw sample size of at least 30 and for Korn-Graubard confidence intervals with width criteria, while this report’s intervals are Wald intervals on the Kish effective N, as described above, and no width criterion is applied.</w:t>
      </w:r>
    </w:p>
    <w:p>
      <w:pPr>
        <w:pStyle w:val="Corpsdetexte"/>
      </w:pPr>
      <w:r>
        <w:t xml:space="preserve">Four rows fall below the floor and are not shown in the Chapter 5 tables: Yellow perch (12 respondents, effective N 11.1); Blue catfish (27 respondents, effective N 22.6); Northern pike (32 respondents, effective N 26.9); Muskellunge / Tiger musky (8 respondents, effective N 7.3). The floor applies to reporting only; these respondents are included in the model fit and in the Overall row. Yellow perch and Blue catfish respondents are also contained in the Panfish / Sunfish and Catfish family rows, respectively. Northern pike and Muskellunge / Tiger musky have no family row, so their respondents appear in no displayed Chapter 5 species row. Where a profile has no respondents in a displayed row, the percentage is 0 and the Wald interval has zero width; this is a property of the interval formula, not a measurement of certainty.</w:t>
      </w:r>
    </w:p>
    <w:bookmarkEnd w:id="119"/>
    <w:bookmarkStart w:id="120" w:name="comparisons-on-other-survey-questions"/>
    <w:p>
      <w:pPr>
        <w:pStyle w:val="Titre3"/>
      </w:pPr>
      <w:r>
        <w:t xml:space="preserve">Comparisons on other survey questions</w:t>
      </w:r>
    </w:p>
    <w:p>
      <w:pPr>
        <w:pStyle w:val="FirstParagraph"/>
      </w:pPr>
      <w:r>
        <w:t xml:space="preserve">The Chapter 5 table of profiles on other survey questions uses the same estimators as Chapter 3: weighted percentages and means with Kish effective-N intervals, and weighted medians with the bootstrap interval described above. Each question keeps its Chapter 3 universe, and the Overall column reproduces the Overall row of the corresponding Chapter 3 table. Unassigned respondents are counted in Overall only. One row is constructed for this chapter: a respondent counts as fishing rivers and streams if they reported the Missouri River, the Platte River, or other streams, rivers, and canals, among respondents who answered the waterbody question.</w:t>
      </w:r>
    </w:p>
    <w:p>
      <w:pPr>
        <w:pStyle w:val="Corpsdetexte"/>
      </w:pPr>
      <w:r>
        <w:t xml:space="preserve">These comparisons treat each respondent’s assigned profile as known. Because assignment is uncertain, some respondents are counted in a profile they may not belong to, which tends to make the profiles look more alike on these questions than they are; the differences shown are therefore more likely understated than overstated. The profile paragraphs name a family group when it makes up at least 5 percentage points more of a profile than of all assigned respondents, as a reminder that species preference and profile membership are related. No adjustment for species mix is made.</w:t>
      </w:r>
    </w:p>
    <w:bookmarkEnd w:id="120"/>
    <w:bookmarkStart w:id="121" w:name="what-is-not-reported"/>
    <w:p>
      <w:pPr>
        <w:pStyle w:val="Titre3"/>
      </w:pPr>
      <w:r>
        <w:t xml:space="preserve">What is not reported</w:t>
      </w:r>
    </w:p>
    <w:p>
      <w:pPr>
        <w:pStyle w:val="FirstParagraph"/>
      </w:pPr>
      <w:r>
        <w:t xml:space="preserve">No significance test is reported in Chapter 5, and the profile shares in different rows are not formally compared. As in other chapters, the species rows overlap and must not be totalled.</w:t>
      </w:r>
    </w:p>
    <w:bookmarkEnd w:id="121"/>
    <w:bookmarkEnd w:id="122"/>
    <w:bookmarkStart w:id="123"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128.51 sec elapsed</w:t>
      </w:r>
    </w:p>
    <w:bookmarkEnd w:id="123"/>
    <w:bookmarkEnd w:id="124"/>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169fc842cbbec904a5d4cdbef3ea5d8ed19407e4.png"/>
<Relationship Id="rId70" Type="http://schemas.openxmlformats.org/officeDocument/2006/relationships/image" Target="media/a0afa56040adc76ecfed5472503a29cc19fbb911.png"/>
<Relationship Id="rId71" Type="http://schemas.openxmlformats.org/officeDocument/2006/relationships/image" Target="media/cbbec0b34fa9153ee814b09c5c1c86c2f724f75c.png"/>
<Relationship Id="rId72" Type="http://schemas.openxmlformats.org/officeDocument/2006/relationships/image" Target="media/dd6438a111392ba108bacefdfcb4286397a7d488.png"/>
<Relationship Id="rId73" Type="http://schemas.openxmlformats.org/officeDocument/2006/relationships/image" Target="media/7d4a410a0827eb0f09f458217bf28d79897b3fb6.png"/>
<Relationship Id="rId74" Type="http://schemas.openxmlformats.org/officeDocument/2006/relationships/image" Target="media/a8ac538d90c073de6b5e52fc86f9679904723285.png"/>
<Relationship Id="rId75" Type="http://schemas.openxmlformats.org/officeDocument/2006/relationships/image" Target="media/c442f86cd6056d90b42c768af7c19f921664d55c.png"/>
<Relationship Id="rId76" Type="http://schemas.openxmlformats.org/officeDocument/2006/relationships/image" Target="media/d059c99ab406abb6d51d6f605a695e3fbe28fce6.png"/>
<Relationship Id="rId77" Type="http://schemas.openxmlformats.org/officeDocument/2006/relationships/image" Target="media/bafff05221ae4b7021fdcd9873784473bfa02aab.png"/>
<Relationship Id="rId78" Type="http://schemas.openxmlformats.org/officeDocument/2006/relationships/image" Target="media/b7dedbf783e5d576ab1a1fbd357daa1382985dde.png"/>
<Relationship Id="rId79" Type="http://schemas.openxmlformats.org/officeDocument/2006/relationships/image" Target="media/9b488cd847e1adeb2a5bc4ea8eaa2a5ceb2f4744.png"/>
<Relationship Id="rId80" Type="http://schemas.openxmlformats.org/officeDocument/2006/relationships/image" Target="media/c1d2e8c79c4398f7886332492ae44aba6729471a.png"/>
<Relationship Id="rId81" Type="http://schemas.openxmlformats.org/officeDocument/2006/relationships/image" Target="media/53ce032ab6bb6d67b23dfb6e21aa2a4a807e63ca.png"/>
<Relationship Id="rId82" Type="http://schemas.openxmlformats.org/officeDocument/2006/relationships/image" Target="media/92eb1627fc4ce018f9f56da2d9a822920aee286d.jpeg"/>
<Relationship Id="rId83" Type="http://schemas.openxmlformats.org/officeDocument/2006/relationships/image" Target="media/267a442ced051e21556a47ba7b31dc7edcb181e3.jpeg"/>
<Relationship Id="rId84" Type="http://schemas.openxmlformats.org/officeDocument/2006/relationships/image" Target="media/fbad1d15d50b30aa35dbad5a9bb642e53b0c33a9.jpeg"/>
<Relationship Id="rId85" Type="http://schemas.openxmlformats.org/officeDocument/2006/relationships/image" Target="media/931429c2b48cfe81e1dbdf804b6a94d50d4b8d81.jpeg"/>
<Relationship Id="rId86" Type="http://schemas.openxmlformats.org/officeDocument/2006/relationships/image" Target="media/e0968d0467b50e68b4575fbc799ea6f375d31e92.jpeg"/>
<Relationship Id="rId87" Type="http://schemas.openxmlformats.org/officeDocument/2006/relationships/image" Target="media/5bcfbf5afe7d824d06dcecb58b19cfa3f29ef363.jpeg"/>
<Relationship Id="rId88" Type="http://schemas.openxmlformats.org/officeDocument/2006/relationships/image" Target="media/883831352ab33c735f0de0f292503c72621ef3b9.png"/>
<Relationship Id="rId89" Type="http://schemas.openxmlformats.org/officeDocument/2006/relationships/image" Target="media/3a6db2bd1f3b0d9b517261eaeccd7282d81e355a.png"/>
<Relationship Id="rId90" Type="http://schemas.openxmlformats.org/officeDocument/2006/relationships/image" Target="media/12ea941b0b41b9489e68810ed6671170610a5918.png"/>
<Relationship Id="rId91" Type="http://schemas.openxmlformats.org/officeDocument/2006/relationships/image" Target="media/ccf75c7b29a060d42592305b6b03608a6d143ef7.png"/>
<Relationship Id="rId92" Type="http://schemas.openxmlformats.org/officeDocument/2006/relationships/image" Target="media/29917e198b1b9259853fdef0857dfb27091394da.png"/>
<Relationship Id="rId93" Type="http://schemas.openxmlformats.org/officeDocument/2006/relationships/image" Target="media/1a58ebe50f606782f2106fbbbfc3435b66a5ed70.png"/>
<Relationship Id="rId94" Type="http://schemas.openxmlformats.org/officeDocument/2006/relationships/image" Target="media/59bde81bec181275dcfd16bc17eabe99988b9aac.png"/>
<Relationship Id="rId95" Type="http://schemas.openxmlformats.org/officeDocument/2006/relationships/image" Target="media/fe6cc7def5a58089d4e8b4920179dd70e3cf16f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2026-09-29T16:26:01Z</dcterms:created>
  <dcterms:modified xsi:type="dcterms:W3CDTF">2026-09-29T11:26:59Z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