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27"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bookmarkEnd w:id="20"/>
    <w:bookmarkStart w:id="21" w:name="preferred-groups"/>
    <w:p>
      <w:pPr>
        <w:pStyle w:val="Titre2"/>
      </w:pPr>
      <w:r>
        <w:t xml:space="preserve">Preferred Groups</w:t>
      </w:r>
    </w:p>
    <w:p>
      <w:pPr>
        <w:pStyle w:val="FirstParagraph"/>
      </w:pPr>
      <w:r>
        <w:t xml:space="preserve">There are 17 preferred groups. Seven are family groups; eight are individual species reported alongside the family group that contains them; and two, northern pike and muskellunge, replace the Esocids family group outright. Species that fall outside every family group keep their place in the Overall column of every table but receive no preferred-group column of their own.</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r>
    </w:tbl>
    <w:p>
      <w:pPr>
        <w:pStyle w:val="Corpsdetexte"/>
      </w:pPr>
      <w:r>
        <w:t xml:space="preserve">Preferred species that fall outside every family group. These 41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Excluded from preferred groups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bl>
    <w:p>
      <w:pPr>
        <w:pStyle w:val="Corpsdetexte"/>
      </w:pPr>
      <w:r>
        <w:t xml:space="preserve">The preferred groups cover 1,874 distinct respondents of the 1,915 in the analysis sample; 41 do not appear in any preferred-group column. Because family columns contain their own species columns, the respondent counts in the table above add to more than 1,874 and should not be totalled.</w:t>
      </w:r>
    </w:p>
    <w:bookmarkEnd w:id="21"/>
    <w:bookmarkStart w:id="26" w:name="comparisons-within-family-groups"/>
    <w:p>
      <w:pPr>
        <w:pStyle w:val="Titre2"/>
      </w:pPr>
      <w:r>
        <w:t xml:space="preserve">Comparisons Within Family Groups</w:t>
      </w:r>
    </w:p>
    <w:p>
      <w:pPr>
        <w:pStyle w:val="FirstParagraph"/>
      </w:pPr>
      <w:r>
        <w:t xml:space="preserve">The four family groups below contain more than one species, so each is shown broken out by species alongside the family group as a whole. These are the comparisons used to decide whether any individual species is reported separately in later chapters.</w:t>
      </w:r>
    </w:p>
    <w:bookmarkStart w:id="22"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r>
    </w:tbl>
    <w:bookmarkEnd w:id="22"/>
    <w:bookmarkStart w:id="23"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0.725</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3"/>
    <w:bookmarkStart w:id="24"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r>
    </w:tbl>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0.775</w:t>
            </w:r>
          </w:p>
        </w:tc>
      </w:tr>
    </w:tbl>
    <w:p>
      <w:pPr>
        <w:pStyle w:val="Corpsdetexte"/>
      </w:pPr>
      <w:r>
        <w:br w:type="page"/>
      </w:r>
    </w:p>
    <w:bookmarkEnd w:id="25"/>
    <w:bookmarkEnd w:id="26"/>
    <w:bookmarkEnd w:id="27"/>
    <w:bookmarkStart w:id="41"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The preferred-species question was not a strict gate on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battery was routed to anglers who named a preferred species, so respondents in the No preference row were not asked these items; the few who answered anyway are reported as they stand rather than dropped.</w:t>
      </w:r>
    </w:p>
    <w:bookmarkStart w:id="28"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24.97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Trout and Channel catfish anglers report the highest satisfaction, each averaging roughly 3.6 on the five-point scale, with more than half of each group agreeing or strongly agreeing and well under a fifth disagreeing. Walleye/Sauger anglers – the largest single preferred group in the survey – report the lowest satisfaction of any well-represented group, averaging 2.8, and are the only large group where more anglers disagree (40%) than agree (28%). The roughly three-quarter-point gap between Walleye/Sauger and Trout/Channel catfish anglers is the largest contrast among the larger preferred groups for this item, and may point to a difference in how reliably each species can be caught rather than a difference in how much anglers enjoy the pursuit itself. A similar pattern shows up within single families: Channel catfish anglers are considerably more satisfied (3.6) than Blue catfish (2.8) or Flathead catfish (3.0) anglers, and Yellow perch anglers report much lower satisfaction (2.4) than Bluegill/Sunfish (3.3) or Crappie (3.2) anglers within the panfish group.</w:t>
      </w:r>
    </w:p>
    <w:p>
      <w:pPr>
        <w:pStyle w:val="Corpsdetexte"/>
      </w:pPr>
      <w:r>
        <w:t xml:space="preserve">No group’s change between 2018 and 2025 was large enough to appear in the figure above. Within 2025, one further pattern stands out: anglers with no single preferred species report above-average satisfaction (3.4, against 3.2 overall) and the largest neutral share of any group (45%), and neutral responses are common across the board – roughly three in ten anglers in most groups take neither side – so the group differences described above rest on the balance between agreement and disagreement rather than on lopsided views within any group.</w:t>
      </w:r>
    </w:p>
    <w:bookmarkEnd w:id="28"/>
    <w:bookmarkStart w:id="29"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22.21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35.59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Overall, disagreement (38%) outweighs agreement (24%) with this trade-off. Northern pike and Muskellunge anglers reject it most strongly of any preferred group, both averaging about 2.4 on the five-point scale, and Flathead catfish and Yellow perch anglers post the next-highest disagreement rates, at about half of each group. Pike and muskellunge anglers pursue larger, trophy-oriented fish, which may explain their reluctance to trade size for numbers. Blue catfish anglers stand apart at the opposite end as the only group where agreement (48%) outweighs disagreement (17%) by a wide margin, suggesting Blue catfish anglers place comparatively more value on numbers over size than anglers preferring any other species.</w:t>
      </w:r>
    </w:p>
    <w:p>
      <w:pPr>
        <w:pStyle w:val="Corpsdetexte"/>
      </w:pPr>
      <w:r>
        <w:t xml:space="preserve">Blue catfish anglers’ agreement rose sharply between 2018 and 2025, from 2.3 to 3.4 – the largest year-over-year movement seen on this item, carrying them from the most reluctant group in 2018 to the most willing in 2025. No other group’s change was large enough to appear in the figure above.</w:t>
      </w:r>
    </w:p>
    <w:bookmarkEnd w:id="29"/>
    <w:bookmarkStart w:id="30"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18.64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56.1 ± 29.22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size-increasing regulations is broad across every preferred group, but Muskellunge (4.5), Moronides (4.2), and Northern pike (4.0) anglers support it most strongly, while Yellow perch anglers support it least (3.3) and also disagree more than any other group (27%) – a pattern that may reflect perch anglers’ comparative indifference to trophy size on a species rarely pursued for its size in the first place. Largemouth and Smallmouth bass anglers are closely aligned with each other on this item (3.9 each), unlike several other items in this battery where the two bass species diverge.</w:t>
      </w:r>
    </w:p>
    <w:p>
      <w:pPr>
        <w:pStyle w:val="Corpsdetexte"/>
      </w:pPr>
      <w:r>
        <w:t xml:space="preserve">No group’s change between 2018 and 2025 was large enough to appear in the figure above. What distinguishes the groups in 2025 is instead the firmness of the support: in every group but Yellow perch, supporters outnumber opponents by at least three to one, and not a single Muskellunge respondent chose neutral – every angler in that group took a side.</w:t>
      </w:r>
    </w:p>
    <w:bookmarkEnd w:id="30"/>
    <w:bookmarkStart w:id="31"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28.90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21.22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aimed at increasing numbers is stronger and more uniform across preferred groups than support for size-increasing regulations was on the previous item – disagreement stays in the single digits for most groups, and every Muskellunge respondent agreed. Muskellunge and Blue catfish anglers support numbers-focused regulation most strongly; Yellow perch and Crappie anglers support it comparatively least, though a clear majority of both still agree.</w:t>
      </w:r>
    </w:p>
    <w:p>
      <w:pPr>
        <w:pStyle w:val="Corpsdetexte"/>
      </w:pPr>
      <w:r>
        <w:t xml:space="preserve">No group’s change between 2018 and 2025 was large enough to appear in the figure above. Set against the previous item, most groups support numbers-focused regulation more strongly than size-focused regulation; Northern pike anglers are the main exception, backing size rules somewhat more strongly, with Moronides and Crappie anglers rating the two about equally. That tilt toward numbers over size may indicate that, for most anglers, catching fish at all matters more than catching bigger ones.</w:t>
      </w:r>
    </w:p>
    <w:bookmarkEnd w:id="31"/>
    <w:bookmarkStart w:id="32"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36.33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This item asks about the opposite trade-off from the harvest-satisfaction item above – willingness to accept fewer fish in exchange for larger ones – and the pattern largely mirrors it. Muskellunge (3.9) and Smallmouth bass (3.9) anglers are most willing to make that trade; Bluegill/Sunfish (3.2) and Walleye/Sauger anglers are least willing among the larger groups. Yellow perch anglers land in the middle on average but are unusually divided, with about a third disagreeing, one of the higher disagreement rates on this item.</w:t>
      </w:r>
    </w:p>
    <w:p>
      <w:pPr>
        <w:pStyle w:val="Corpsdetexte"/>
      </w:pPr>
      <w:r>
        <w:t xml:space="preserve">No group’s change between 2018 and 2025 was large enough to appear in the figure above. The 2025 pattern is internally consistent with the harvest-versus-size question two items later: the groups most willing to sacrifice numbers for size here – Muskellunge and both bass groups – are the same ones that lean toward size over harvest opportunity there, while Walleye/Sauger anglers, among the least willing here, lean furthest toward harvest opportunity. No group falls below neutral on average, so the differences are in degree of willingness, not direction.</w:t>
      </w:r>
    </w:p>
    <w:bookmarkEnd w:id="32"/>
    <w:bookmarkStart w:id="33"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29.01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30.60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23.91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49.4 ± 21.53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Yellow perch and Blue catfish anglers feel most strongly that their preferred fish has become harder to catch, and Walleye/Sauger anglers – the largest preferred group – also lean toward agreement, with 56% agreeing. Bluegill/Sunfish and Channel catfish anglers feel this least. The two catfish species diverge sharply from each other here – Channel catfish anglers see little change in difficulty while Blue catfish anglers see a great deal – and the same divergence appears within panfish, where Yellow perch anglers report much more difficulty than Bluegill/Sunfish anglers despite both belonging to the same combined preferred group.</w:t>
      </w:r>
    </w:p>
    <w:p>
      <w:pPr>
        <w:pStyle w:val="Corpsdetexte"/>
      </w:pPr>
      <w:r>
        <w:t xml:space="preserve">Agreement that the preferred fish has become harder to catch rose modestly across all anglers between 2018 and 2025, from 3.2 to 3.3 – one of only two items in this battery, along with the water-availability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3"/>
    <w:bookmarkStart w:id="34"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26.09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 ±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37.9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Trout (3.3) and Walleye/Sauger (3.2) anglers lean furthest toward valuing the opportunity to harvest their preferred fish over its size, though neither sits far above the scale midpoint. Smallmouth bass anglers are the clear outlier at the other end, disagreeing by more than four to one – consistent with smallmouth bass fisheries’ typical size- and release-oriented management. Both bass species in fact lean toward size over harvest, but Smallmouth bass anglers (2.4) do so far more sharply than Largemouth bass anglers (2.7), and Moronides (2.6) and Muskellunge (2.7) anglers land near them at the size-oriented end of the scale.</w:t>
      </w:r>
    </w:p>
    <w:p>
      <w:pPr>
        <w:pStyle w:val="Corpsdetexte"/>
      </w:pPr>
      <w:r>
        <w:t xml:space="preserve">Moronides anglers are the only group whose change between 2018 and 2025 appears in the figure above, moving from leaning toward harvest opportunity (3.2) to leaning toward size (2.6) – one of the larger single-group shifts in this battery, and one that carries Moronides anglers from the harvest-oriented end of this item across to the size-oriented end, alongside the bass groups.</w:t>
      </w:r>
    </w:p>
    <w:bookmarkEnd w:id="34"/>
    <w:bookmarkStart w:id="35"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45.6 ± 29.32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26.78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25.55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 ± 35.87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register the strongest disagreement seen anywhere in this battery – roughly three in four disagree that they travel too far – consistent with panfish being widely available close to home, and Largemouth bass and catfish anglers broadly share that view. Yellow perch (3.8) and Muskellunge (3.6) anglers sit at the opposite extreme – not a single Yellow perch respondent disagreed – suggesting perch and muskellunge anglers travel farther for their preferred fish than most other anglers do. Walleye/Sauger, Moronides, and Trout anglers also lean further toward agreement than the overall average, which may reflect how concentrated the waters holding those species are.</w:t>
      </w:r>
    </w:p>
    <w:p>
      <w:pPr>
        <w:pStyle w:val="Corpsdetexte"/>
      </w:pPr>
      <w:r>
        <w:t xml:space="preserve">No group’s change between 2018 and 2025 was large enough to appear in the figure above. The travel pattern does line up with the water-availability item at the end of this battery: Yellow perch, Muskellunge, and Northern pike anglers sit at or near the top of both, while Bluegill/Sunfish and Channel catfish anglers sit at or near the bottom of both, suggesting that travel distance and the perceived shortage of places to fish are two readings of the same underlying access picture for these species.</w:t>
      </w:r>
    </w:p>
    <w:bookmarkEnd w:id="35"/>
    <w:bookmarkStart w:id="36"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28.55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25.50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Moronides (3.8) and Muskellunge (3.8) anglers report the highest satisfaction with the size of fish they catch; Yellow perch (2.8) and Northern pike (3.0) anglers report the lowest. The gap between Muskellunge and Northern pike anglers is notable given both prefer esocids – muskellunge, which grow considerably larger than pike, appear to deliver more size satisfaction to the anglers who pursue them. Within the bass and panfish families, Smallmouth bass and Bluegill/Sunfish anglers (both 3.5) are clearly more size-satisfied than Largemouth bass (3.0) and Yellow perch anglers respectively.</w:t>
      </w:r>
    </w:p>
    <w:p>
      <w:pPr>
        <w:pStyle w:val="Corpsdetexte"/>
      </w:pPr>
      <w:r>
        <w:t xml:space="preserve">No group’s change between 2018 and 2025 was large enough to appear in the figure above. Within 2025, how the groups arrive at their averages differs as much as the averages themselves: Northern pike anglers split into opposing camps (43% agree, 37% disagree, only a fifth neutral), while nearly half of Blue catfish anglers (47%) and four in ten Trout anglers take no side at all.</w:t>
      </w:r>
    </w:p>
    <w:bookmarkEnd w:id="36"/>
    <w:bookmarkStart w:id="37"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21.51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36.32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and Muskellunge anglers are most satisfied with the size limits that govern harvest of their preferred fish, and agreement outweighs disagreement in every group but one: Northern pike anglers, where disagreement (40%) edges out agreement (38%). That echoes the pike/muskellunge gap seen on the size-satisfaction item above – pike anglers appear comparatively dissatisfied with both the size of fish they catch and the size they are allowed to keep.</w:t>
      </w:r>
    </w:p>
    <w:p>
      <w:pPr>
        <w:pStyle w:val="Corpsdetexte"/>
      </w:pPr>
      <w:r>
        <w:t xml:space="preserve">No group’s change between 2018 and 2025 was large enough to appear in the figure above. Compared with the previous item, nearly every group rates the size they are allowed to harvest at least as favorably as the size they actually catch; Moronides anglers are the one clear exception, rating the size they catch (3.8) above the size they are allowed to keep (3.5), which may hint that where Moronides anglers have a complaint, it is with the rules rather than the fish.</w:t>
      </w:r>
    </w:p>
    <w:bookmarkEnd w:id="37"/>
    <w:bookmarkStart w:id="38"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28.59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(3.6) and Channel catfish (3.4) anglers are most satisfied with the number of fish they catch; Yellow perch (2.7) and Flathead catfish (2.8) anglers are least. The catfish family splits sharply on this item: half of Flathead catfish anglers disagree – the highest disagreement rate of any group on this item – and Blue catfish anglers also lean toward dissatisfaction, while Channel catfish anglers are among the most satisfied groups, which may point to differences in how consistently each catfish species can be caught rather than anything about catfish angling as a whole.</w:t>
      </w:r>
    </w:p>
    <w:p>
      <w:pPr>
        <w:pStyle w:val="Corpsdetexte"/>
      </w:pPr>
      <w:r>
        <w:t xml:space="preserve">No group’s change between 2018 and 2025 was large enough to appear in the figure above. The 2025 ranking largely mirrors the overall fishing-success item at the top of this battery – Channel catfish and Trout anglers near the top of both, Yellow perch and Walleye/Sauger anglers near the bottom of both – which may indicate that when anglers judge their overall success, the number of fish caught weighs at least as heavily as their size.</w:t>
      </w:r>
    </w:p>
    <w:bookmarkEnd w:id="38"/>
    <w:bookmarkStart w:id="39"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28.84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45.0 ± 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are again the most satisfied group, this time with harvest-number limits, and a majority of most groups agree. Both esocid species land at the bottom together on average, but they arrive there differently: Northern pike anglers (3.1) show real dissatisfaction, with about three in ten disagreeing, while Muskellunge anglers (3.2) are overwhelmingly neutral rather than dissatisfied – not one disagreed. Yellow perch anglers (3.3) sit just above the esocids, continuing the comparatively low perch satisfaction that runs through most of the satisfaction items in this battery.</w:t>
      </w:r>
    </w:p>
    <w:p>
      <w:pPr>
        <w:pStyle w:val="Corpsdetexte"/>
      </w:pPr>
      <w:r>
        <w:t xml:space="preserve">Moronides anglers are the only group whose change between 2018 and 2025 appears in the figure above, declining by nearly half a point – from the most satisfied group on this item in 2018 to the lower third in 2025, a reversal worth noting given their generally high standing on the other satisfaction items in this battery.</w:t>
      </w:r>
    </w:p>
    <w:bookmarkEnd w:id="39"/>
    <w:bookmarkStart w:id="40"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25.33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22.99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21.72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63.0 ± 35.08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Muskellunge anglers agree more strongly than any other preferred group (4.3) that there are not enough places to fish for their preferred fish, and Northern pike (3.5) and Yellow perch (3.5) anglers also lean toward agreement – consistent with muskellunge, pike, and perch all being managed in a comparatively limited number of Nebraska waters. Bluegill/Sunfish and Channel catfish anglers feel the opposite, disagreeing by roughly two to one, consistent with how widely those species are stocked and available.</w:t>
      </w:r>
    </w:p>
    <w:p>
      <w:pPr>
        <w:pStyle w:val="Corpsdetexte"/>
      </w:pPr>
      <w:r>
        <w:t xml:space="preserve">Flathead catfish anglers’ agreement rose sharply between 2018 and 2025, from 2.5 to 3.3 – the largest movement of any group on this item, and second in this battery only to Blue catfish anglers’ shift on the smaller-fish trade-off item. Agreement across all anglers also crept upward between the two years, from 2.9 to 3.1, another instance, like the difficulty-of-catching item earlier, where the shift shows up broadly rather than only within individual preferred groups.</w:t>
      </w:r>
    </w:p>
    <w:bookmarkEnd w:id="40"/>
    <w:bookmarkEnd w:id="41"/>
    <w:bookmarkStart w:id="79"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 residency, gender, and age –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 a battery item with its own missingness, a scale score with its completeness gate, or an indicator computed on its own subset – the count appears inside each cell after the confidence interval. N is the raw unweighted respondent count in both cases.</w:t>
      </w:r>
    </w:p>
    <w:p>
      <w:pPr>
        <w:pStyle w:val="Corpsdetexte"/>
      </w:pPr>
      <w:r>
        <w:br w:type="page"/>
      </w:r>
    </w:p>
    <w:bookmarkStart w:id="42" w:name="fish-out-of-state"/>
    <w:p>
      <w:pPr>
        <w:pStyle w:val="Titre2"/>
      </w:pPr>
      <w:r>
        <w:t xml:space="preserve">Fish Out-Of-State</w:t>
      </w:r>
    </w:p>
    <w:p>
      <w:pPr>
        <w:pStyle w:val="FirstParagraph"/>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53.9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81.2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2"/>
    <w:bookmarkStart w:id="43" w:name="boat-out-of-state"/>
    <w:p>
      <w:pPr>
        <w:pStyle w:val="Titre2"/>
      </w:pPr>
      <w:r>
        <w:t xml:space="preserve">Boat Out-Of-State</w:t>
      </w:r>
    </w:p>
    <w:p>
      <w:pPr>
        <w:pStyle w:val="FirstParagraph"/>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53.8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3"/>
    <w:bookmarkStart w:id="44" w:name="park-entry-permit"/>
    <w:p>
      <w:pPr>
        <w:pStyle w:val="Titre2"/>
      </w:pPr>
      <w:r>
        <w:t xml:space="preserve">Park Entry Permit</w:t>
      </w:r>
    </w:p>
    <w:p>
      <w:pPr>
        <w:pStyle w:val="FirstParagraph"/>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67.4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81.1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4"/>
    <w:bookmarkStart w:id="45" w:name="fishing-tournaments"/>
    <w:p>
      <w:pPr>
        <w:pStyle w:val="Titre2"/>
      </w:pPr>
      <w:r>
        <w:t xml:space="preserve">Fishing Tournaments</w:t>
      </w:r>
    </w:p>
    <w:p>
      <w:pPr>
        <w:pStyle w:val="FirstParagraph"/>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94.1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45"/>
    <w:bookmarkStart w:id="46" w:name="waterbody-types"/>
    <w:p>
      <w:pPr>
        <w:pStyle w:val="Titre2"/>
      </w:pPr>
      <w:r>
        <w:t xml:space="preserve">Waterbody Types</w:t>
      </w:r>
    </w:p>
    <w:p>
      <w:pPr>
        <w:pStyle w:val="FirstParagraph"/>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23.81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28.15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27.98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92.0 ± 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19.38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93.3 ± 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35.17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46"/>
    <w:bookmarkStart w:id="47" w:name="methods"/>
    <w:p>
      <w:pPr>
        <w:pStyle w:val="Titre2"/>
      </w:pPr>
      <w:r>
        <w:t xml:space="preserve">Methods</w:t>
      </w:r>
    </w:p>
    <w:p>
      <w:pPr>
        <w:pStyle w:val="FirstParagraph"/>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28.33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29.41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66.2 ± 11.45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60.0 ± 11.86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35.42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76.4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7"/>
    <w:bookmarkStart w:id="48" w:name="techniques"/>
    <w:p>
      <w:pPr>
        <w:pStyle w:val="Titre2"/>
      </w:pPr>
      <w:r>
        <w:t xml:space="preserve">Techniques</w:t>
      </w:r>
    </w:p>
    <w:p>
      <w:pPr>
        <w:pStyle w:val="FirstParagraph"/>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92.2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8"/>
    <w:bookmarkStart w:id="49" w:name="crowding"/>
    <w:p>
      <w:pPr>
        <w:pStyle w:val="Titre2"/>
      </w:pPr>
      <w:r>
        <w:t xml:space="preserve">Crowding</w:t>
      </w:r>
    </w:p>
    <w:p>
      <w:pPr>
        <w:pStyle w:val="FirstParagraph"/>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29.30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36.27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49"/>
    <w:bookmarkStart w:id="50" w:name="access"/>
    <w:p>
      <w:pPr>
        <w:pStyle w:val="Titre2"/>
      </w:pPr>
      <w:r>
        <w:t xml:space="preserve">Access</w:t>
      </w:r>
    </w:p>
    <w:p>
      <w:pPr>
        <w:pStyle w:val="FirstParagraph"/>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71.8 ± 30.67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58.6 ± 33.59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37.44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34.35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23.09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89.7 ± 13.38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21.43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22.55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22.71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6.34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87.7 ± 8.15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10.09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11.10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76.3 ± 11.20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2.02 (70)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0"/>
    <w:bookmarkStart w:id="51" w:name="favorite-waterbody-distance"/>
    <w:p>
      <w:pPr>
        <w:pStyle w:val="Titre2"/>
      </w:pPr>
      <w:r>
        <w:t xml:space="preserve">Favorite Waterbody Distance</w:t>
      </w:r>
    </w:p>
    <w:p>
      <w:pPr>
        <w:pStyle w:val="FirstParagraph"/>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27.18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18.16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30/50/176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80/176/176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16/146/438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1"/>
    <w:bookmarkStart w:id="52" w:name="most-visited-waterbody-distance"/>
    <w:p>
      <w:pPr>
        <w:pStyle w:val="Titre2"/>
      </w:pPr>
      <w:r>
        <w:t xml:space="preserve">Most-Visited Waterbody Distance</w:t>
      </w:r>
    </w:p>
    <w:p>
      <w:pPr>
        <w:pStyle w:val="FirstParagraph"/>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23/30/113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30/80/176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16/146/376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2"/>
    <w:bookmarkStart w:id="53" w:name="satisfaction"/>
    <w:p>
      <w:pPr>
        <w:pStyle w:val="Titre2"/>
      </w:pPr>
      <w:r>
        <w:t xml:space="preserve">Satisfaction</w:t>
      </w:r>
    </w:p>
    <w:p>
      <w:pPr>
        <w:pStyle w:val="FirstParagraph"/>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11.84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3"/>
    <w:bookmarkStart w:id="54" w:name="live-imaging-sonar-use"/>
    <w:p>
      <w:pPr>
        <w:pStyle w:val="Titre2"/>
      </w:pPr>
      <w:r>
        <w:t xml:space="preserve">Live-imaging Sonar Use</w:t>
      </w:r>
    </w:p>
    <w:p>
      <w:pPr>
        <w:pStyle w:val="FirstParagraph"/>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86.9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76.7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4"/>
    <w:bookmarkStart w:id="55" w:name="conservation-officer"/>
    <w:p>
      <w:pPr>
        <w:pStyle w:val="Titre2"/>
      </w:pPr>
      <w:r>
        <w:t xml:space="preserve">Conservation Officer</w:t>
      </w:r>
    </w:p>
    <w:p>
      <w:pPr>
        <w:pStyle w:val="FirstParagraph"/>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55"/>
    <w:bookmarkStart w:id="56" w:name="guided-trips"/>
    <w:p>
      <w:pPr>
        <w:pStyle w:val="Titre2"/>
      </w:pPr>
      <w:r>
        <w:t xml:space="preserve">Guided Trips</w:t>
      </w:r>
    </w:p>
    <w:p>
      <w:pPr>
        <w:pStyle w:val="FirstParagraph"/>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6.56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0.17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56"/>
    <w:bookmarkStart w:id="57" w:name="days-fished"/>
    <w:p>
      <w:pPr>
        <w:pStyle w:val="Titre2"/>
      </w:pPr>
      <w:r>
        <w:t xml:space="preserve">Days Fished</w:t>
      </w:r>
    </w:p>
    <w:p>
      <w:pPr>
        <w:pStyle w:val="FirstParagraph"/>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19.0/25.8/62.5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ice-fishing"/>
    <w:p>
      <w:pPr>
        <w:pStyle w:val="Titre2"/>
      </w:pPr>
      <w:r>
        <w:t xml:space="preserve">Ice Fishing</w:t>
      </w:r>
    </w:p>
    <w:p>
      <w:pPr>
        <w:pStyle w:val="FirstParagraph"/>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64" w:name="angler-motivations"/>
    <w:p>
      <w:pPr>
        <w:pStyle w:val="Titre2"/>
      </w:pPr>
      <w:r>
        <w:t xml:space="preserve">Angler Motivations</w:t>
      </w:r>
    </w:p>
    <w:p>
      <w:pPr>
        <w:pStyle w:val="FirstParagraph"/>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59"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0.79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0.54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0.56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59"/>
    <w:bookmarkStart w:id="60" w:name="psychological-and-physiological"/>
    <w:p>
      <w:pPr>
        <w:pStyle w:val="Titre3"/>
      </w:pPr>
      <w:r>
        <w:t xml:space="preserve">Psychological and Physiological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0.74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0.41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0.24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0.30 (82)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0.84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0.86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0"/>
    <w:bookmarkStart w:id="61"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0.70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1.02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1"/>
    <w:bookmarkStart w:id="62"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0.78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2"/>
    <w:bookmarkStart w:id="63"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0.58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3"/>
    <w:bookmarkEnd w:id="64"/>
    <w:bookmarkStart w:id="70" w:name="regulations"/>
    <w:p>
      <w:pPr>
        <w:pStyle w:val="Titre2"/>
      </w:pPr>
      <w:r>
        <w:t xml:space="preserve">Regulations</w:t>
      </w:r>
    </w:p>
    <w:p>
      <w:pPr>
        <w:pStyle w:val="FirstParagraph"/>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65" w:name="comprehension-and-confidence"/>
    <w:p>
      <w:pPr>
        <w:pStyle w:val="Titre3"/>
      </w:pPr>
      <w:r>
        <w:t xml:space="preserve">Comprehension and Confidence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0.87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0.72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0.35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65"/>
    <w:bookmarkStart w:id="66" w:name="site-specific-support"/>
    <w:p>
      <w:pPr>
        <w:pStyle w:val="Titre3"/>
      </w:pPr>
      <w:r>
        <w:t xml:space="preserve">Site-Specific Support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0.80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0.63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0.73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0.49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66"/>
    <w:bookmarkStart w:id="67" w:name="uniform-preference"/>
    <w:p>
      <w:pPr>
        <w:pStyle w:val="Titre3"/>
      </w:pPr>
      <w:r>
        <w:t xml:space="preserve">Uniform Preference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0.50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0.65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0.33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1.23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67"/>
    <w:bookmarkStart w:id="68"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0.79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0.69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68"/>
    <w:bookmarkStart w:id="69"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0.47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0.53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0.16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0.50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9"/>
    <w:bookmarkEnd w:id="70"/>
    <w:bookmarkStart w:id="76" w:name="angler-attitudes"/>
    <w:p>
      <w:pPr>
        <w:pStyle w:val="Titre2"/>
      </w:pPr>
      <w:r>
        <w:t xml:space="preserve">Angler Attitudes</w:t>
      </w:r>
    </w:p>
    <w:p>
      <w:pPr>
        <w:pStyle w:val="FirstParagraph"/>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1"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0.96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0.67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0.32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0.94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0.79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1"/>
    <w:bookmarkStart w:id="72" w:name="numbers-of-fish"/>
    <w:p>
      <w:pPr>
        <w:pStyle w:val="Titre3"/>
      </w:pPr>
      <w:r>
        <w:t xml:space="preserve">Numbers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2"/>
    <w:bookmarkStart w:id="73" w:name="size-of-fish"/>
    <w:p>
      <w:pPr>
        <w:pStyle w:val="Titre3"/>
      </w:pPr>
      <w:r>
        <w:t xml:space="preserve">Size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0.44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0.81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0.51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3"/>
    <w:bookmarkStart w:id="74" w:name="harvesting-fish"/>
    <w:p>
      <w:pPr>
        <w:pStyle w:val="Titre3"/>
      </w:pPr>
      <w:r>
        <w:t xml:space="preserve">Harvesting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0.32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0.50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4"/>
    <w:bookmarkStart w:id="75"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0.22 (71)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0.26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0.42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75"/>
    <w:bookmarkEnd w:id="76"/>
    <w:bookmarkStart w:id="77" w:name="gender"/>
    <w:p>
      <w:pPr>
        <w:pStyle w:val="Titre2"/>
      </w:pPr>
      <w:r>
        <w:t xml:space="preserve">Gender</w:t>
      </w:r>
    </w:p>
    <w:p>
      <w:pPr>
        <w:pStyle w:val="FirstParagraph"/>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91.2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80.7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77"/>
    <w:bookmarkStart w:id="78" w:name="age"/>
    <w:p>
      <w:pPr>
        <w:pStyle w:val="Titre2"/>
      </w:pPr>
      <w:r>
        <w:t xml:space="preserve">Age</w:t>
      </w:r>
    </w:p>
    <w:p>
      <w:pPr>
        <w:pStyle w:val="FirstParagraph"/>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22.53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37.3 ± 31.19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30.36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23.25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33.30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78"/>
    <w:bookmarkEnd w:id="79"/>
    <w:bookmarkStart w:id="84" w:name="chapter-4-satisfaction"/>
    <w:p>
      <w:pPr>
        <w:pStyle w:val="Titre1"/>
      </w:pPr>
      <w:r>
        <w:t xml:space="preserve">Chapter 4: Satisfaction</w:t>
      </w:r>
    </w:p>
    <w:p>
      <w:pPr>
        <w:pStyle w:val="FirstParagraph"/>
      </w:pPr>
      <w:r>
        <w:t xml:space="preserve">The survey measures satisfaction in two places that this report has so far kept apart. A9 asks how satisfied the angler was with fishing in Nebraska during 2025 and is reported in Chapter 3. Five items in the D4 battery ask about the one type of fish the angler prefers to fish for and are reported one at a time in Chapter 2. This chapter puts all six in one place, pointing the same direction, across the same preferred groups. No cell is computed differently here: the same summary functions, the same universe, and the same row set are used, so a value in this chapter and its counterpart in Chapter 2 or 3 are the same number.</w:t>
      </w:r>
    </w:p>
    <w:p>
      <w:pPr>
        <w:pStyle w:val="Corpsdetexte"/>
      </w:pPr>
      <w:r>
        <w:t xml:space="preserve">A9 appears here as 6 minus the recorded response, so that every item in this chapter runs the same way and a higher score is always more satisfied. Chapter 3 reports A9 on its recorded scale, where 1 is Very satisfied. The two are the same estimate with the same confidence interval: the overall 2.3 plus or minus 0.06 in Chapter 3 is 3.7 plus or minus 0.06 here.</w:t>
      </w:r>
    </w:p>
    <w:p>
      <w:pPr>
        <w:pStyle w:val="Corpsdetexte"/>
      </w:pPr>
      <w:r>
        <w:t xml:space="preserve">Rows are the preferred groups from Chapter 1, with individual species indented beneath the family group that contains them. Family rows include the respondents in their species rows, so rows overlap and must not be totalled.</w:t>
      </w:r>
    </w:p>
    <w:p>
      <w:pPr>
        <w:pStyle w:val="Corpsdetexte"/>
      </w:pPr>
      <w:r>
        <w:br w:type="page"/>
      </w:r>
    </w:p>
    <w:bookmarkStart w:id="80" w:name="the-satisfaction-items"/>
    <w:p>
      <w:pPr>
        <w:pStyle w:val="Titre2"/>
      </w:pPr>
      <w:r>
        <w:t xml:space="preserve">The satisfaction items</w:t>
      </w:r>
    </w:p>
    <w:p>
      <w:pPr>
        <w:pStyle w:val="FirstParagraph"/>
      </w:pPr>
      <w:r>
        <w:t xml:space="preserve">The six items, with the question text as it appears in the instrument, the short name used in the tables that follow, and the chapter that reports the item in full. N is the raw unweighted number of respondents in the analysis sample who answered the item; the mean is weighted, with a 95 percent confidence interval.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Question text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Short name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Also 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 mean ± CI</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How satisfied were you with your fishing experiences in Nebraska during 2025?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am allowed to harvest in Nebraska.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am allowed to harvest in Nebraska.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bl>
    <w:p>
      <w:pPr>
        <w:pStyle w:val="Corpsdetexte"/>
      </w:pPr>
      <w:r>
        <w:br w:type="page"/>
      </w:r>
    </w:p>
    <w:p>
      <w:pPr>
        <w:sectPr>
          <w:pgMar w:header="708" w:bottom="1417" w:top="1417" w:right="1417" w:left="1417" w:footer="708" w:gutter="0"/>
          <w:pgSz w:h="16838" w:w="11906" w:orient="portrait"/>
          <w:type w:val="nextPage"/>
          <w:cols/>
        </w:sectPr>
      </w:pPr>
    </w:p>
    <w:bookmarkEnd w:id="80"/>
    <w:bookmarkStart w:id="81" w:name="satisfaction-by-preferred-group"/>
    <w:p>
      <w:pPr>
        <w:pStyle w:val="Titre2"/>
      </w:pPr>
      <w:r>
        <w:t xml:space="preserve">Satisfaction by preferred group</w:t>
      </w:r>
    </w:p>
    <w:p>
      <w:pPr>
        <w:pStyle w:val="FirstParagraph"/>
      </w:pPr>
      <w:r>
        <w:t xml:space="preserve">All six items across the preferred groups. Cells are the weighted mean for the row group with a 95 percent confidence interval, followed by the raw unweighted number of respondents contributing to that cell. Rows are the preferred groups from Chapter 1, with individual species indented beneath the family group that contains them. Family rows include the respondents in their species rows, so rows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(334)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(171)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0.38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(145)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(325)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(49)</w:t>
            </w:r>
          </w:p>
        </w:tc>
      </w:tr>
    </w:tbl>
    <w:bookmarkEnd w:id="81"/>
    <w:bookmarkStart w:id="82" w:name="size-and-numbers-the-fish-anglers-catch"/>
    <w:p>
      <w:pPr>
        <w:pStyle w:val="Titre2"/>
      </w:pPr>
      <w:r>
        <w:t xml:space="preserve">Size and numbers: the fish anglers catch</w:t>
      </w:r>
    </w:p>
    <w:p>
      <w:pPr>
        <w:pStyle w:val="FirstParagraph"/>
      </w:pPr>
      <w:r>
        <w:t xml:space="preserve">D4i and D4k ask the same question about the same fish, one about the size caught and one about the number caught, so the two can be compared within an angler rather than across anglers.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0.41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 ± 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72"/>
                    <a:stretch>
                      <a:fillRect/>
                    </a:stretch>
                  </pic:blipFill>
                  <pic:spPr bwMode="auto">
                    <a:xfrm>
                      <a:off x="0" y="0"/>
                      <a:ext cx="5943600" cy="4572000"/>
                    </a:xfrm>
                    <a:prstGeom prst="rect">
                      <a:avLst/>
                    </a:prstGeom>
                    <a:noFill/>
                  </pic:spPr>
                </pic:pic>
              </a:graphicData>
            </a:graphic>
          </wp:inline>
        </w:drawing>
      </w:r>
    </w:p>
    <w:p>
      <w:pPr>
        <w:pStyle w:val="Corpsdetexte"/>
      </w:pPr>
      <w:r>
        <w:t xml:space="preserve">Reading the difference column against its own interval, and without any adjustment for the number of groups compared: the interval lies above zero, with size rated higher than numbers, for Flathead catfish, Blue catfish, Moronides, Catfish, Walleye / Sauger; it lies below zero, with numbers rated higher than size, for Largemouth bass, Bass. For the remaining 10 groups the interval includes zero. Overall the difference is 0.07 ± 0.06.</w:t>
      </w:r>
    </w:p>
    <w:p>
      <w:pPr>
        <w:pStyle w:val="Corpsdetexte"/>
      </w:pPr>
      <w:r>
        <w:br w:type="page"/>
      </w:r>
    </w:p>
    <w:bookmarkEnd w:id="82"/>
    <w:bookmarkStart w:id="83" w:name="X2c24d475ce42ae6209e2e60ea847336235e6fab"/>
    <w:p>
      <w:pPr>
        <w:pStyle w:val="Titre2"/>
      </w:pPr>
      <w:r>
        <w:t xml:space="preserve">Size and numbers: the fish anglers may harvest</w:t>
      </w:r>
    </w:p>
    <w:p>
      <w:pPr>
        <w:pStyle w:val="FirstParagraph"/>
      </w:pPr>
      <w:r>
        <w:t xml:space="preserve">D4j and D4l repeat the comparison for the fish an angler is allowed to keep rather than the fish caught.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 ± 0.04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73"/>
                    <a:stretch>
                      <a:fillRect/>
                    </a:stretch>
                  </pic:blipFill>
                  <pic:spPr bwMode="auto">
                    <a:xfrm>
                      <a:off x="0" y="0"/>
                      <a:ext cx="5943600" cy="4572000"/>
                    </a:xfrm>
                    <a:prstGeom prst="rect">
                      <a:avLst/>
                    </a:prstGeom>
                    <a:noFill/>
                  </pic:spPr>
                </pic:pic>
              </a:graphicData>
            </a:graphic>
          </wp:inline>
        </w:drawing>
      </w:r>
    </w:p>
    <w:p>
      <w:pPr>
        <w:pStyle w:val="Corpsdetexte"/>
      </w:pPr>
      <w:r>
        <w:t xml:space="preserve">On the same reading: the interval lies above zero for Muskellunge / Tiger musky, and below zero for No preference. For the remaining 15 groups the interval includes zero. Overall the difference is -0.00 ± 0.04.</w:t>
      </w:r>
    </w:p>
    <w:p>
      <w:pPr>
        <w:pStyle w:val="Corpsdetexte"/>
      </w:pPr>
      <w:r>
        <w:br w:type="page"/>
      </w:r>
    </w:p>
    <w:bookmarkEnd w:id="83"/>
    <w:bookmarkEnd w:id="84"/>
    <w:bookmarkStart w:id="97" w:name="chapter-5-angler-type-profiles"/>
    <w:p>
      <w:pPr>
        <w:pStyle w:val="Titre1"/>
      </w:pPr>
      <w:r>
        <w:t xml:space="preserve">Chapter 5: Angler Type Profiles</w:t>
      </w:r>
    </w:p>
    <w:p>
      <w:pPr>
        <w:pStyle w:val="FirstParagraph"/>
      </w:pPr>
      <w:r>
        <w:t xml:space="preserve">This chapter groups anglers into profiles using a latent profile analysis of eleven scale scores reported in Chapter 3: the four angler-attitude scales, the four motivation scales, and the three regulation scales. One model is fitted to the whole report universe, so the profiles are defined once and are the same in every preferred-species row; the tables below report how each row’s respondents are distributed across them. The model is fitted without the survey weights. Every percentage and mean reported from it is weighted, with intervals built on the Kish effective N and raw unweighted counts displayed, as in Chapters 1 to 4.</w:t>
      </w:r>
    </w:p>
    <w:p>
      <w:pPr>
        <w:pStyle w:val="Corpsdetexte"/>
      </w:pPr>
      <w:r>
        <w:t xml:space="preserve">1,718 of the 1,915 respondents in this report’s universe (89.7%) answered at least 7 of the eleven scales and were included in the fit. Scales that a fitted respondent left blank are handled within the model rather than imputed. The other 197 respondents are reported as Unassigned rather than dropped. Profiles are numbered 1 to 6 in the order the estimation produced them; the numbers are labels and carry no order.</w:t>
      </w:r>
    </w:p>
    <w:p>
      <w:pPr>
        <w:sectPr>
          <w:pgMar w:header="708" w:bottom="1417" w:top="1417" w:right="1417" w:left="1417" w:footer="708" w:gutter="0"/>
          <w:pgSz w:h="16838" w:w="11906" w:orient="portrait"/>
          <w:type w:val="nextPage"/>
          <w:cols/>
        </w:sectPr>
      </w:pPr>
    </w:p>
    <w:bookmarkStart w:id="85" w:name="choosing-the-number-of-profiles"/>
    <w:p>
      <w:pPr>
        <w:pStyle w:val="Titre2"/>
      </w:pPr>
      <w:r>
        <w:t xml:space="preserve">Choosing the number of profiles</w:t>
      </w:r>
    </w:p>
    <w:p>
      <w:pPr>
        <w:pStyle w:val="FirstParagraph"/>
      </w:pPr>
      <w:r>
        <w:t xml:space="preserve">Models with 1 to 6 profiles were fitted under two within-profile variance structures: equal, in which every profile shares one variance per scale, and varying, in which each profile has its own. The equal structure was extended to 8 profiles. The model used in the rest of this chapter is the one with the lowest BIC among models that converged, whose smallest profile holds at least 5 percent of fitted respondents, and whose relative entropy is at least 0.60. That is the 6-profile equal-variance model. BIC is minus twice the log-likelihood plus the number of estimated parameters times the natural log of the number of fitted respondents; lower values indicate better fit. Relative entropy runs from 0 to 1, with 1 meaning every respondent is assigned with certainty. The lowest mean assigned probability is the average membership probability among the respondents assigned to a profile, for the profile where that average is smallest. OpenMx status 0 or 1 indicates the estimation converged. All values in this table are unweighted model quantities.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Variances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Parameters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Log-likelihood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Relative entropy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profile n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Lowest mean assigned probability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OpenMx status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Eligible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(22.9%)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41,092.5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 (selected)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-20,037.2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40,774.7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(25.4%)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-18,863.0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(13.3%)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bl>
    <w:p>
      <w:pPr>
        <w:pStyle w:val="Corpsdetexte"/>
      </w:pPr>
      <w:r>
        <w:t xml:space="preserve">Four models with a lower BIC than the selected model are not eligible. The 7- and 8-profile equal-variance models converged, but their smallest profiles hold 4.1 and 3.3 percent of fitted respondents. BIC is lower at every larger equal-variance model fitted, so the selected model is the largest eligible equal-variance model rather than the point at which BIC stops decreasing. The 5- and 6-profile varying-variance models did not converge (OpenMx status 6). In each, one profile (271 and 277 respondents) contains only respondents at the scale maximum of 5 on the Site-specific regulation scale among those who answered it (267 of 267 and 273 of 273), and that profile’s estimated variance on the scale is effectively zero (5.5e-06 and 3.6e-07).</w:t>
      </w:r>
    </w:p>
    <w:bookmarkEnd w:id="85"/>
    <w:bookmarkStart w:id="86" w:name="assignment-certainty"/>
    <w:p>
      <w:pPr>
        <w:pStyle w:val="Titre2"/>
      </w:pPr>
      <w:r>
        <w:t xml:space="preserve">Assignment certainty</w:t>
      </w:r>
    </w:p>
    <w:p>
      <w:pPr>
        <w:pStyle w:val="FirstParagraph"/>
      </w:pPr>
      <w:r>
        <w:t xml:space="preserve">Each fitted respondent is assigned to the profile with the highest estimated membership probability. The table below shows how certain those assignments are, by the number of scales the respondent answered. The values are unweighted model quantities for the 1,718 fitted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Scales answered (of 11)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probability of assigned 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Assigned with probability below 0.70</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w:t>
            </w:r>
          </w:p>
        </w:tc>
      </w:tr>
    </w:tbl>
    <w:p>
      <w:pPr>
        <w:sectPr>
          <w:pgMar w:header="708" w:bottom="1417" w:top="1417" w:right="1417" w:left="1417" w:footer="708" w:gutter="0"/>
          <w:pgSz w:h="11906" w:w="16838" w:orient="landscape"/>
          <w:type w:val="nextPage"/>
          <w:cols/>
        </w:sectPr>
      </w:pPr>
    </w:p>
    <w:bookmarkEnd w:id="86"/>
    <w:bookmarkStart w:id="87" w:name="profile-means"/>
    <w:p>
      <w:pPr>
        <w:pStyle w:val="Titre2"/>
      </w:pPr>
      <w:r>
        <w:t xml:space="preserve">Profile means</w:t>
      </w:r>
    </w:p>
    <w:p>
      <w:pPr>
        <w:pStyle w:val="FirstParagraph"/>
      </w:pPr>
      <w:r>
        <w:t xml:space="preserve">The two figures below show the weighted mean of each scale for the respondents assigned to each profile, with 95 percent confidence intervals. These are weighted means of the assigned respondents, not the unweighted means the model estimated for each profile. The first figure places the profiles side by side across the eleven scales.</w:t>
      </w:r>
    </w:p>
    <w:p>
      <w:pPr>
        <w:jc w:val="center"/>
        <w:pStyle w:val="Figure"/>
      </w:pPr>
      <w:r>
        <w:rPr/>
        <w:drawing>
          <wp:inline distT="0" distB="0" distL="0" distR="0">
            <wp:extent cx="5943600" cy="50292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74"/>
                    <a:stretch>
                      <a:fillRect/>
                    </a:stretch>
                  </pic:blipFill>
                  <pic:spPr bwMode="auto">
                    <a:xfrm>
                      <a:off x="0" y="0"/>
                      <a:ext cx="5943600" cy="5029200"/>
                    </a:xfrm>
                    <a:prstGeom prst="rect">
                      <a:avLst/>
                    </a:prstGeom>
                    <a:noFill/>
                  </pic:spPr>
                </pic:pic>
              </a:graphicData>
            </a:graphic>
          </wp:inline>
        </w:drawing>
      </w:r>
    </w:p>
    <w:p>
      <w:pPr>
        <w:pStyle w:val="Corpsdetexte"/>
      </w:pPr>
      <w:r>
        <w:t xml:space="preserve">The second figure shows one panel per scale, with the profiles along the horizontal axis and the Overall weighted mean for every respondent who answered that scale as a dashed line.</w:t>
      </w:r>
    </w:p>
    <w:p>
      <w:pPr>
        <w:jc w:val="center"/>
        <w:pStyle w:val="Figure"/>
      </w:pPr>
      <w:r>
        <w:rPr/>
        <w:drawing>
          <wp:inline distT="0" distB="0" distL="0" distR="0">
            <wp:extent cx="5943600" cy="64008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75"/>
                    <a:stretch>
                      <a:fillRect/>
                    </a:stretch>
                  </pic:blipFill>
                  <pic:spPr bwMode="auto">
                    <a:xfrm>
                      <a:off x="0" y="0"/>
                      <a:ext cx="5943600" cy="64008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p>
      <w:pPr>
        <w:pStyle w:val="Corpsdetexte"/>
      </w:pPr>
      <w:r>
        <w:t xml:space="preserve">The values behind both figures are below. The Overall column is computed on every respondent in the universe who answered the scale, including Unassigned respondents, and equals the Overall row of the Chapter 3 scale tables.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Domain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vMerge w:val="restart"/>
            <w:tcBorders>
              <w:bottom w:val="single" w:sz="8"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Attitudes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0.08 (355)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(344)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0.10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0.09 (307)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0.12 (116)</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0.10 (116)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(117)</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0.09 (334)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0.09 (282)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0.11 (267)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0.11 (296)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0.13 (118)</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Motivations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(350)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0.07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(299)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(111)</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0.06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0.07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(117)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0.08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0.07 (274)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 (116)</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0.05 (349)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(326)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(284)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(279)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0.06 (295)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0.08 (118)</w:t>
            </w:r>
          </w:p>
        </w:tc>
      </w:tr>
      <w:tr>
        <w:trPr>
          <w:trHeight w:val="360" w:hRule="auto"/>
        </w:trPr>
        <w:tc>
          <w:tcPr>
            <w:vMerge w:val="restart"/>
            <w:tcBorders>
              <w:bottom w:val="single" w:sz="12"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Comprehension</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(353)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(337)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0.08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(302)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0.11 (117)</w:t>
            </w:r>
          </w:p>
        </w:tc>
      </w:tr>
      <w:tr>
        <w:trPr>
          <w:trHeight w:val="360" w:hRule="auto"/>
        </w:trPr>
        <w:tc>
          <w:tcPr>
            <w:vMerge/>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Site-specific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0.07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0.09 (117)</w:t>
            </w:r>
          </w:p>
        </w:tc>
      </w:tr>
      <w:tr>
        <w:trPr>
          <w:trHeight w:val="360" w:hRule="auto"/>
        </w:trPr>
        <w:tc>
          <w:tcPr>
            <w:vMerge/>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Simplification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0.07 (350)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(300)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(113)</w:t>
            </w:r>
          </w:p>
        </w:tc>
      </w:tr>
    </w:tbl>
    <w:bookmarkEnd w:id="87"/>
    <w:bookmarkStart w:id="88" w:name="profiles-by-preferred-species"/>
    <w:p>
      <w:pPr>
        <w:pStyle w:val="Titre2"/>
      </w:pPr>
      <w:r>
        <w:t xml:space="preserve">Profiles by preferred species</w:t>
      </w:r>
    </w:p>
    <w:p>
      <w:pPr>
        <w:pStyle w:val="FirstParagraph"/>
      </w:pPr>
      <w:r>
        <w:t xml:space="preserve">The table below gives, for each preferred-species row, the weighted percentage of its respondents assigned to each profile, with Unassigned as a column so that each row sums to 100. The rows overlap, as elsewhere in this report, and must not be totalled. Where a row has no respondents in a profile, the percentage is 0.0 and the interval has zero width. Preferred-species rows below the effective-N floor of 30 are not shown (4 rows): Yellow perch (12 respondents, effective N 11.1); Blue catfish (27 respondents, effective N 22.6); Northern pike (32 respondents, effective N 26.9); Muskellunge / Tiger musky (8 respondents, effective N 7.3). Their respondents are included in the model fit and in the Overall row. This is the only chapter of the report that withholds rows; the effective-N floor was set before the model was fitted.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Unassigned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1.87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1.60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15.72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4.82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11.25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8.43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9.57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6.97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8.78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r>
    </w:tbl>
    <w:bookmarkEnd w:id="88"/>
    <w:bookmarkStart w:id="89" w:name="profiles-on-other-survey-questions"/>
    <w:p>
      <w:pPr>
        <w:pStyle w:val="Titre2"/>
      </w:pPr>
      <w:r>
        <w:t xml:space="preserve">Profiles on other survey questions</w:t>
      </w:r>
    </w:p>
    <w:p>
      <w:pPr>
        <w:pStyle w:val="FirstParagraph"/>
      </w:pPr>
      <w:r>
        <w:t xml:space="preserve">The table below compares the profiles on other survey questions. Each question keeps the universe it has in Chapter 3, so N differs by row, and the Overall column equals the Overall row of the corresponding Chapter 3 table. Unassigned respondents are counted in Overall only and have no column of their own. The river and stream row counts a respondent who fished the Missouri River, the Platte River, or other streams, rivers, and canals; it combines three Chapter 3 waterbody types and has no single Chapter 3 counterpart. Percentage and mean cells show the weighted value with a 95 percent confidence interval, followed by N. Median cells show the lower limit, the weighted median and the upper limit, followed by N, as in Chapter 3. Satisfaction is scored from 1, Very satisfied, to 5, Very dissatisfied, as in Chapter 3.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Measure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mean</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3.28 (357)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3.89 (336)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4.57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5.86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3.06 (302)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3.99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17.0/19.0/22.0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10.5/14.0/18.0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20.0/24.0/30.0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27.0/31.0/36.5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6.0/7.0/10.0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9.0/13.0/19.0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at least one tournament,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2.08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2.49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2.85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1.90 (309)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1.52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Hired a fishing guide,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3.67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2.67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4.43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3.48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2.90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4.12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motorized boat,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57.4 ± 5.68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 ± 6.00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58.4 ± 6.33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57.1 ± 6.37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6.35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9.74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kayak or canoe,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4.83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5.36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5.51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3.56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7.52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Ice fished,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4.69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3.94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5.18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5.52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3.73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7.65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the Missouri River, Platte River, or other streams and rivers,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2.44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5.56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5.68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 ± 6.16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6.46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5.59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9.01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 water requiring a Park Entry Permit,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 (1,898)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68.3 ± 5.33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68.0 ± 5.53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71.2 ± 5.79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77.0 ± 5.37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6.32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8.90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private areas to fish or launch,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5.75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5.99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6.53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6.22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6.45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9.62 (99)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outside Nebraska,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 (1,884)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 ± 5.79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5.87 (342)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6.43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6.36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5.76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9.34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One-way miles to most visited water,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 fishing satisfaction, mean (1 = Very satisfied, 5 = Very dissatisfied)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 (1,871)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0.12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0.15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0.19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live-imaging sonar,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4.17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4.72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5.25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3.40 (307)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6.31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Female,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4.42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5.33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4.24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4.49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4.99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8.92 (118)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 mean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 (1,777)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 ± 1.80 (358)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1.96 (337)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2.05 (292)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1.94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2.33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3.10 (117)</w:t>
            </w:r>
          </w:p>
        </w:tc>
      </w:tr>
    </w:tbl>
    <w:p>
      <w:pPr>
        <w:sectPr>
          <w:pgMar w:header="708" w:bottom="1417" w:top="1417" w:right="1417" w:left="1417" w:footer="708" w:gutter="0"/>
          <w:pgSz w:h="11906" w:w="16838" w:orient="landscape"/>
          <w:type w:val="nextPage"/>
          <w:cols/>
        </w:sectPr>
      </w:pPr>
    </w:p>
    <w:bookmarkEnd w:id="89"/>
    <w:bookmarkStart w:id="96" w:name="the-six-profiles"/>
    <w:p>
      <w:pPr>
        <w:pStyle w:val="Titre2"/>
      </w:pPr>
      <w:r>
        <w:t xml:space="preserve">The six profiles</w:t>
      </w:r>
    </w:p>
    <w:p>
      <w:pPr>
        <w:pStyle w:val="FirstParagraph"/>
      </w:pPr>
      <w:r>
        <w:t xml:space="preserve">The paragraphs below describe each profile by the scales on which it differs most from the Overall mean. Means are the weighted means in the profile means table; the figure after each mean is its distance from the Overall mean in standard deviations of the Overall weighted distribution (SD). Two scale names need a note: the Fishery resource motivation scale is made up of catch outcomes (competing for prizes, obtaining fish to eat, catching a trophy, the fun of catching), and the Simplification regulation scale measures agreement with uniform statewide regulations. Species shares are the row percentages from the table above, with their confidence intervals. The label and the closing picture in each paragraph are an interpretive summary of the eleven scale scores. They are not measured directly, and traits beyond those scales, such as how often or how an angler fishes, are not established by these data.</w:t>
      </w:r>
    </w:p>
    <w:p>
      <w:pPr>
        <w:pStyle w:val="Corpsdetexte"/>
      </w:pPr>
      <w:r>
        <w:t xml:space="preserve">The second paragraph for each profile compares it with the Overall column on the other survey questions in the table above; the values quoted are from that table, and its confidence intervals show that several of the differences described are small relative to their precision. Where a family group makes up at least 5 percentage points more of a profile than of all assigned respondents, the paragraph names it, because questions that vary by species may partly reflect that mix rather than the profile itself.</w:t>
      </w:r>
    </w:p>
    <w:bookmarkStart w:id="90" w:name="Xc0fd8528f800c1d1d977a19a4150be6484941ea"/>
    <w:p>
      <w:pPr>
        <w:pStyle w:val="Titre3"/>
      </w:pPr>
      <w:r>
        <w:t xml:space="preserve">Class 1: The harvest-minded, keep-it-simple angler</w:t>
      </w:r>
    </w:p>
    <w:p>
      <w:pPr>
        <w:pStyle w:val="FirstParagraph"/>
      </w:pPr>
      <w:r>
        <w:t xml:space="preserve">Class 1 holds 18.3% of respondents (n = 362). It has the highest harvest score of any profile (2.8, +0.75 SD) and is above average on needing to catch something (3.4) and on catching many fish (3.6). Size matters no more than average (3.3), and its motivations sit near the Overall means. What sets it apart is regulations: it reports the least comprehension of the rules (2.8, -0.87 SD), the least support for site-specific rules (3.3), and the strongest preference for uniform statewide rules (3.6, +0.59 SD). Picture someone who fishes for a meal, measures a trip by what goes in the cooler, and finds a patchwork of lake-specific rules confusing. Class 1 makes up 26.3% ± 4.3 of Walleye / Sauger, 25.2% ± 7.1 of Crappie and 23.0% ± 6.0 of Panfish / Sunfish anglers, against 18.3% overall.</w:t>
      </w:r>
    </w:p>
    <w:p>
      <w:pPr>
        <w:pStyle w:val="Corpsdetexte"/>
      </w:pPr>
      <w:r>
        <w:t xml:space="preserve">On the other survey questions, Class 1 fishes about as often as anglers overall (mean days 28.6, against 30.2 overall). It is more likely than average to have hired a guide (11.6%, against 8.1% overall), to have ice fished (21.2%, against 17.7% overall) and to have fished from a motorized boat (57.4%, against 51.1% overall). It reports the lowest overall satisfaction of any profile (mean 2.6, against 2.3 overall, where higher means less satisfied). Its species mix leans toward Walleye / Sauger (34.1% of the profile, against 24.3% of all assigned respondents), so differences on questions that vary by species may partly reflect that mix rather than the profile itself.</w:t>
      </w:r>
    </w:p>
    <w:bookmarkEnd w:id="90"/>
    <w:bookmarkStart w:id="91" w:name="Xa8c41db140c6eca67601616ab9b133a568ff22d"/>
    <w:p>
      <w:pPr>
        <w:pStyle w:val="Titre3"/>
      </w:pPr>
      <w:r>
        <w:t xml:space="preserve">Class 2: The relaxed, catch-optional angler</w:t>
      </w:r>
    </w:p>
    <w:p>
      <w:pPr>
        <w:pStyle w:val="FirstParagraph"/>
      </w:pPr>
      <w:r>
        <w:t xml:space="preserve">Class 2 holds 16.7% of respondents (n = 347). It is below average on all four catch attitudes: catch something 2.2, numbers 2.5, size 2.8, harvest 2.0. Its lowest motivation is catch outcomes (2.2, -0.52 SD), while the outdoors (3.8) and social (3.8) motivations run slightly above average. Its regulation scores are middling, with a slight lean toward uniform rules (3.3). Picture someone who goes for the day out, the company and the water, and for whom a fishless trip is not a failed trip. Class 2 makes up 25.2% ± 5.2 of No preference and 22.6% ± 9.8 of Trout anglers, against 16.7% overall.</w:t>
      </w:r>
    </w:p>
    <w:p>
      <w:pPr>
        <w:pStyle w:val="Corpsdetexte"/>
      </w:pPr>
      <w:r>
        <w:t xml:space="preserve">On the other survey questions, Class 2 fishes less often than average (median days 14.0, against 17.0 overall) and seldom fishes tournaments (1.3%, against 3.0% overall). It ice fishes less often than average (12.3%, against 17.7% overall) and is more satisfied than average (mean 2.1, against 2.3 overall). Together with Class 6 it has the highest share of women of any profile (28.2%, and 28.1% in Class 6, against 19.5% overall). Its species mix leans toward No preference (27.0% of the profile, against 17.7% of all assigned respondents), so differences on questions that vary by species may partly reflect that mix rather than the profile itself.</w:t>
      </w:r>
    </w:p>
    <w:bookmarkEnd w:id="91"/>
    <w:bookmarkStart w:id="92" w:name="Xe396c5be7e9d2f3f9e19200ee61fcb908f936b9"/>
    <w:p>
      <w:pPr>
        <w:pStyle w:val="Titre3"/>
      </w:pPr>
      <w:r>
        <w:t xml:space="preserve">Class 3: The regulation-savvy catch-and-release sport angler</w:t>
      </w:r>
    </w:p>
    <w:p>
      <w:pPr>
        <w:pStyle w:val="FirstParagraph"/>
      </w:pPr>
      <w:r>
        <w:t xml:space="preserve">Class 3 holds 15.9% of respondents (n = 292). It is above average on size (3.7, +0.56 SD) and on needing a catch (3.1), but below average on harvest (1.9): it wants a fish on the line, preferably a good one, and then lets it go. Its motivations are at or slightly below average (social 3.3, -0.39 SD). It is strongly engaged with regulations, with high comprehension (4.2, +0.71 SD), high support for site-specific rules (4.5, +0.76 SD), and a low preference for uniform rules (2.5, -0.68 SD). Picture an angler, often a bass angler, who reads the regulations and values rules tailored to each lake. Class 3 makes up 23.0% ± 4.8 of Bass, 24.0% ± 5.2 of Largemouth bass and 24.1% ± 13.1 of Flathead catfish anglers, against 15.9% overall.</w:t>
      </w:r>
    </w:p>
    <w:p>
      <w:pPr>
        <w:pStyle w:val="Corpsdetexte"/>
      </w:pPr>
      <w:r>
        <w:t xml:space="preserve">On the other survey questions, Class 3 fishes more often than average (mean days 35.6, against 30.2 overall; median 24.0, against 17.0 overall). It has the highest rate of hiring a guide of any profile (13.9%, against 8.1% overall) and the highest use of private areas (35.0%, against 28.6% overall); its tournament participation is close to the overall rate (4.0%, against 3.0% overall). Its median distance to its most visited water is 16 miles, against 30 overall, and it has the lowest share of women of any profile (12.7%, against 19.5% overall). Its species mix leans toward Bass (30.0% of the profile, against 21.0% of all assigned respondents), so differences on questions that vary by species may partly reflect that mix rather than the profile itself.</w:t>
      </w:r>
    </w:p>
    <w:bookmarkEnd w:id="92"/>
    <w:bookmarkStart w:id="93" w:name="class-4-the-all-in-enthusiast"/>
    <w:p>
      <w:pPr>
        <w:pStyle w:val="Titre3"/>
      </w:pPr>
      <w:r>
        <w:t xml:space="preserve">Class 4: The all-in enthusiast</w:t>
      </w:r>
    </w:p>
    <w:p>
      <w:pPr>
        <w:pStyle w:val="FirstParagraph"/>
      </w:pPr>
      <w:r>
        <w:t xml:space="preserve">Class 4 holds 18.2% of respondents (n = 286). It has the highest score of any profile on all four motivations: challenge and relaxation (4.2, +1.15 SD), outdoors (4.5, +1.04 SD), social (4.4, +0.98 SD), and catch outcomes (3.2, +1.05 SD). It is also the most size-oriented profile (3.9, +0.74 SD) and is above average on numbers (3.5), with average scores on needing a catch (2.7) and on harvest (2.1). Its support for site-specific rules is above average (4.1). The catch-outcomes scale, on which no other profile scores as high, includes competing for prizes or money. Picture the angler for whom fishing is a central hobby: every reason to go matters, trophies and tournament competition included. Class 4 makes up 35.2% ± 11.5 of Moronides and 33.8% ± 15.7 of Smallmouth bass anglers, against 18.2% overall.</w:t>
      </w:r>
    </w:p>
    <w:p>
      <w:pPr>
        <w:pStyle w:val="Corpsdetexte"/>
      </w:pPr>
      <w:r>
        <w:t xml:space="preserve">On the other survey questions, Class 4 is the most active profile and the one most likely to fish tournaments (5.3%, against 3.0% overall), although tournament anglers remain a small share of it. It has the highest mean days fished (45.4, against 30.2 overall) and median days fished (31.0, against 17.0 overall), and the highest rates of any profile for using a kayak or canoe (24.2%, against 17.7% overall), ice fishing (24.3%, against 17.7% overall), fishing rivers and streams (47.4%, against 36.0% overall), fishing waters that require a Park Entry Permit (77.0%, against 69.0% overall), fishing outside Nebraska (54.9%, against 44.1% overall) and using live-imaging sonar (21.4%, against 14.5% overall). It is also the youngest profile (mean age 39.2, against 46.0 overall). Its species mix leans toward Moronides (10.5% of the profile, against 5.2% of all assigned respondents), so differences on questions that vary by species may partly reflect that mix rather than the profile itself.</w:t>
      </w:r>
    </w:p>
    <w:bookmarkEnd w:id="93"/>
    <w:bookmarkStart w:id="94" w:name="class-5-the-low-involvement-angler"/>
    <w:p>
      <w:pPr>
        <w:pStyle w:val="Titre3"/>
      </w:pPr>
      <w:r>
        <w:t xml:space="preserve">Class 5: The low-involvement angler</w:t>
      </w:r>
    </w:p>
    <w:p>
      <w:pPr>
        <w:pStyle w:val="FirstParagraph"/>
      </w:pPr>
      <w:r>
        <w:t xml:space="preserve">Class 5 holds 13.4% of respondents (n = 311). It has the lowest score of any profile on all four motivations: challenge and relaxation (2.2, -1.33 SD), outdoors (2.6, -1.37 SD), social (2.6, -1.22 SD), and catch outcomes (1.9, -0.92 SD). It is near average on needing a catch (2.9) and on harvest (2.3), below average on numbers (2.9, -0.27 SD) and size (2.9, -0.50 SD), and close to average on the three regulation scales. Picture a licence holder for whom fishing is incidental rather than a pursuit in its own right. Uniformly low importance ratings can also reflect how a respondent uses the rating scale. Class 5 makes up 19.7% ± 4.7 of No preference anglers, against 13.4% overall.</w:t>
      </w:r>
    </w:p>
    <w:p>
      <w:pPr>
        <w:pStyle w:val="Corpsdetexte"/>
      </w:pPr>
      <w:r>
        <w:t xml:space="preserve">On the other survey questions, Class 5 is the least active profile. It has the lowest mean days fished (17.4, against 30.2 overall) and median days fished (7.0, against 17.0 overall), and the lowest rates of any profile for using a kayak or canoe (8.4%, against 17.7% overall), ice fishing (9.4%, against 17.7% overall), fishing rivers and streams (25.4%, against 36.0% overall), fishing waters that require a Park Entry Permit (55.7%, against 69.0% overall), fishing outside Nebraska (28.9%, against 44.1% overall) and using live-imaging sonar (7.7%, against 14.5% overall). It is the oldest profile (mean age 52.4, against 46.0 overall). Its species mix leans toward No preference (26.3% of the profile, against 17.7% of all assigned respondents), so differences on questions that vary by species may partly reflect that mix rather than the profile itself.</w:t>
      </w:r>
    </w:p>
    <w:bookmarkEnd w:id="94"/>
    <w:bookmarkStart w:id="95" w:name="class-6-the-conservation-minded-purist"/>
    <w:p>
      <w:pPr>
        <w:pStyle w:val="Titre3"/>
      </w:pPr>
      <w:r>
        <w:t xml:space="preserve">Class 6: The conservation-minded purist</w:t>
      </w:r>
    </w:p>
    <w:p>
      <w:pPr>
        <w:pStyle w:val="FirstParagraph"/>
      </w:pPr>
      <w:r>
        <w:t xml:space="preserve">Class 6 holds 6.0% of respondents (n = 120), the smallest profile. It has the lowest score of any profile on all four catch attitudes: catch something 1.8, numbers 1.9 (-1.58 SD), size 2.4, harvest 1.6; catching and keeping fish are close to irrelevant to it. It is motivated by the outdoors (4.1) and by social reasons (3.9) but not by catch outcomes (2.1). It has the highest comprehension of the rules (4.5) and support for site-specific rules (4.7) of any profile, and the lowest preference for uniform rules (2.4). Picture someone who values the experience and well-managed waters over the catch. Class 6 makes up 1.7% ± 1.3 of Walleye / Sauger anglers and none of the 85 Moronides respondents; its largest share of any displayed row is 13.8% ± 11.5 of Bluegill / Sunfish anglers.</w:t>
      </w:r>
    </w:p>
    <w:p>
      <w:pPr>
        <w:pStyle w:val="Corpsdetexte"/>
      </w:pPr>
      <w:r>
        <w:t xml:space="preserve">On the other survey questions, Class 6 fishes less often than average (median days 13.0, against 17.0 overall) and has the lowest rates of any profile for fishing tournaments (0.6%, against 3.0% overall), hiring a guide (4.6%, against 8.1% overall) and fishing from a motorized boat (40.6%, against 51.1% overall). Its median distance to its most visited water is 16 miles, against 30 overall. It reports the highest overall satisfaction of any profile (mean 1.7, against 2.3 overall, where lower means more satisfied), and, with Class 2, the highest share of women (28.1%, against 19.5% overall). With 120 respondents it is the smallest profile, and most of its intervals in the table are correspondingly wide. Its species mix leans toward No preference (28.2% of the profile, against 17.7% of all assigned respondents), Panfish / Sunfish (17.9% of the profile, against 10.7% of all assigned respondents), and Bass (26.5% of the profile, against 21.0% of all assigned respondents), so differences on questions that vary by species may partly reflect that mix rather than the profile itself.</w:t>
      </w:r>
    </w:p>
    <w:p>
      <w:pPr>
        <w:pStyle w:val="Corpsdetexte"/>
      </w:pPr>
      <w:r>
        <w:br w:type="page"/>
      </w:r>
    </w:p>
    <w:bookmarkEnd w:id="95"/>
    <w:bookmarkEnd w:id="96"/>
    <w:bookmarkEnd w:id="97"/>
    <w:bookmarkStart w:id="98" w:name="Xbf0d53dc12cea4ebeaf345348a1370e6595a36a"/>
    <w:p>
      <w:pPr>
        <w:pStyle w:val="Titre1"/>
      </w:pPr>
      <w:r>
        <w:t xml:space="preserve">Appendix A - Nebraska Licensed Angler Survey (Paper Version)</w:t>
      </w:r>
    </w:p>
    <w:p>
      <w:pPr>
        <w:pStyle w:val="FirstParagraph"/>
      </w:pPr>
      <w:r>
        <w:br w:type="page"/>
      </w:r>
    </w:p>
    <w:bookmarkEnd w:id="98"/>
    <w:bookmarkStart w:id="123" w:name="appendix-b---statistical-methodology"/>
    <w:p>
      <w:pPr>
        <w:pStyle w:val="Titre1"/>
      </w:pPr>
      <w:r>
        <w:t xml:space="preserve">Appendix B - Statistical Methodology</w:t>
      </w:r>
    </w:p>
    <w:bookmarkStart w:id="99"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41 respondents in the analysis sample prefer a species that falls outside every family group – bullhead, drum, sturgeon, common carp, invasive carp, paddlefish, and the literal</w:t>
      </w:r>
      <w:r>
        <w:t xml:space="preserve"> </w:t>
      </w:r>
      <w:r>
        <w:t xml:space="preserve">“Other”</w:t>
      </w:r>
      <w:r>
        <w:t xml:space="preserve"> </w:t>
      </w:r>
      <w:r>
        <w:t xml:space="preserve">response.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99"/>
    <w:bookmarkStart w:id="100"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100"/>
    <w:bookmarkStart w:id="101"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of the population-scaling difference noted above: 2025</w:t>
      </w:r>
      <w:r>
        <w:t xml:space="preserve"> </w:t>
      </w:r>
      <w:r>
        <w:t xml:space="preserve">weights sum to roughly 234,000 with a mean weight around 83. Using the</w:t>
      </w:r>
      <w:r>
        <w:t xml:space="preserve"> </w:t>
      </w:r>
      <w:r>
        <w:t xml:space="preserve">raw sum of weights as the CI denominator would make intervals roughly 9x too</w:t>
      </w:r>
      <w:r>
        <w:t xml:space="preserve"> </w:t>
      </w:r>
      <w:r>
        <w:t xml:space="preserve">tight. The Kish effective sample size</w:t>
      </w:r>
      <w:r>
        <w:t xml:space="preserve"> </w:t>
      </w:r>
      <w:r>
        <w:t xml:space="preserve">corrects for this by accounting for the variance introduced by unequal</w:t>
      </w:r>
      <w:r>
        <w:t xml:space="preserve"> </w:t>
      </w:r>
      <w:r>
        <w:t xml:space="preserve">weighting (the</w:t>
      </w:r>
      <w:r>
        <w:t xml:space="preserve"> </w:t>
      </w:r>
      <w:r>
        <w:t xml:space="preserve">“design effect”</w:t>
      </w:r>
      <w:r>
        <w:t xml:space="preserve">).</w:t>
      </w:r>
    </w:p>
    <w:bookmarkEnd w:id="101"/>
    <w:bookmarkStart w:id="102"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102"/>
    <w:bookmarkStart w:id="103"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103"/>
    <w:bookmarkStart w:id="104"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 –</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104"/>
    <w:bookmarkStart w:id="105" w:name="scale-scores-and-the-completeness-gate"/>
    <w:p>
      <w:pPr>
        <w:pStyle w:val="Titre2"/>
      </w:pPr>
      <w:r>
        <w:t xml:space="preserve">Scale scores and the completeness gate</w:t>
      </w:r>
    </w:p>
    <w:p>
      <w:pPr>
        <w:pStyle w:val="FirstParagraph"/>
      </w:pPr>
      <w:r>
        <w:t xml:space="preserve">The motivation and attitude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eight scales used here the analysis sample ranges from 1,653 to 1,715 respondents. This is an inherited listwise requirement rather than a discretionary exclusion, and the resulting sample size is printed beside every estimate.</w:t>
      </w:r>
    </w:p>
    <w:bookmarkEnd w:id="105"/>
    <w:bookmarkStart w:id="106"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106"/>
    <w:bookmarkStart w:id="107" w:name="X49bfc2c5614b6fd3a37d8a9960cc79b17adbcde"/>
    <w:p>
      <w:pPr>
        <w:pStyle w:val="Titre2"/>
      </w:pPr>
      <w:r>
        <w:t xml:space="preserve">The preferred groups, and why columns do not sum</w:t>
      </w:r>
    </w:p>
    <w:p>
      <w:pPr>
        <w:pStyle w:val="FirstParagraph"/>
      </w:pPr>
      <w:r>
        <w:t xml:space="preserve">The preferred groups are not a partition. Bass, Panfish / Sunfish, and Catfish each appear both as a combined family column and as one column per constituent species, so a respondent who prefers largemouth bass is counted in both the Bass column and the Largemouth bass column. The Esocids family was replaced outright by separate northern pike and muskellunge columns and has no combined column.</w:t>
      </w:r>
    </w:p>
    <w:p>
      <w:pPr>
        <w:pStyle w:val="Corpsdetexte"/>
      </w:pPr>
      <w:r>
        <w:t xml:space="preserve">Two consequences follow. Preferred-group column counts sum to 2,695 against 1,874 distinct respondents, so they must never be totalled. And because each column is computed on its own respondents and uses its own denominator, the percentages within any single column remain correct; only addition across columns is invalid.</w:t>
      </w:r>
    </w:p>
    <w:bookmarkEnd w:id="107"/>
    <w:bookmarkStart w:id="108"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rather than a variance correction. With</w:t>
      </w:r>
      <w:r>
        <w:t xml:space="preserve"> </w:t>
      </w:r>
      <w:r>
        <w:t xml:space="preserve">independent sampling units, the linearized standard errors that</w:t>
      </w:r>
      <w:r>
        <w:t xml:space="preserve"> </w:t>
      </w:r>
      <w:r>
        <w:rPr>
          <w:b/>
          <w:bCs/>
        </w:rPr>
        <w:t xml:space="preserve">survey</w:t>
      </w:r>
      <w:r>
        <w:t xml:space="preserve"> </w:t>
      </w:r>
      <w:r>
        <w:t xml:space="preserve">computes are scale-invariant in the weights: the raw weights and the rescaled</w:t>
      </w:r>
      <w:r>
        <w:t xml:space="preserve"> </w:t>
      </w:r>
      <w:r>
        <w:t xml:space="preserve">weights give identical standard errors and identical degrees of freedom. The</w:t>
      </w:r>
      <w:r>
        <w:t xml:space="preserve"> </w:t>
      </w:r>
      <w:r>
        <w:t xml:space="preserve">“roughly 9x too tight”</w:t>
      </w:r>
      <w:r>
        <w:t xml:space="preserve"> </w:t>
      </w:r>
      <w:r>
        <w:t xml:space="preserve">problem described under percentage confidence intervals</w:t>
      </w:r>
      <w:r>
        <w:t xml:space="preserve"> </w:t>
      </w:r>
      <w:r>
        <w:t xml:space="preserve">above belongs specifically to the manual sum-of-weights calculation that the</w:t>
      </w:r>
      <w:r>
        <w:t xml:space="preserve"> </w:t>
      </w:r>
      <w:r>
        <w:t xml:space="preserve">Kish effective sample size corrects, and it does</w:t>
      </w:r>
      <w:r>
        <w:t xml:space="preserve"> </w:t>
      </w:r>
      <w:r>
        <w:rPr>
          <w:b/>
          <w:bCs/>
        </w:rPr>
        <w:t xml:space="preserve">not</w:t>
      </w:r>
      <w:r>
        <w:t xml:space="preserve"> </w:t>
      </w:r>
      <w:r>
        <w:t xml:space="preserve">carry over to the</w:t>
      </w:r>
      <w:r>
        <w:t xml:space="preserve"> </w:t>
      </w:r>
      <w:r>
        <w:t xml:space="preserve">design objects used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108"/>
    <w:bookmarkStart w:id="109" w:name="multiplicity"/>
    <w:p>
      <w:pPr>
        <w:pStyle w:val="Titre2"/>
      </w:pPr>
      <w:r>
        <w:t xml:space="preserve">Multiplicity</w:t>
      </w:r>
    </w:p>
    <w:p>
      <w:pPr>
        <w:pStyle w:val="FirstParagraph"/>
      </w:pPr>
      <w:r>
        <w:t xml:space="preserve">Where a family contains three species there are three possible pairwise comparisons, and the unadjusted p-value for each is multiplied by three (Bonferroni). Where a family contains two species there is a single comparison and no adjustment is applied. Both the unadjusted and the Bonferroni-adjusted p-value are printed, rather than a single verdict against a fixed threshold.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rPr>
          <w:b/>
          <w:bCs/>
        </w:rPr>
        <w:t xml:space="preserve">The adjustment covers one dimension only.</w:t>
      </w:r>
      <w:r>
        <w:t xml:space="preserve"> </w:t>
      </w:r>
      <w:r>
        <w:t xml:space="preserve">It accounts for the number of</w:t>
      </w:r>
      <w:r>
        <w:t xml:space="preserve"> </w:t>
      </w:r>
      <w:r>
        <w:t xml:space="preserve">species comparisons made within a single outcome, not for the number of</w:t>
      </w:r>
      <w:r>
        <w:t xml:space="preserve"> </w:t>
      </w:r>
      <w:r>
        <w:t xml:space="preserve">outcomes examined. Each family is compared on eight scale scores plus days</w:t>
      </w:r>
      <w:r>
        <w:t xml:space="preserve"> </w:t>
      </w:r>
      <w:r>
        <w:t xml:space="preserve">fished, so a three-species family carries 27 comparisons in total with no</w:t>
      </w:r>
      <w:r>
        <w:t xml:space="preserve"> </w:t>
      </w:r>
      <w:r>
        <w:t xml:space="preserve">adjustment across the outcome dimension. Readers should treat a single</w:t>
      </w:r>
      <w:r>
        <w:t xml:space="preserve"> </w:t>
      </w:r>
      <w:r>
        <w:t xml:space="preserve">adjusted p-value near the conventional threshold accordingly.</w:t>
      </w:r>
    </w:p>
    <w:bookmarkEnd w:id="109"/>
    <w:bookmarkStart w:id="110"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 the interval is simply too wide to distinguish the two possibilities. The difference, its interval, and g together let the reader tell those cases apart.</w:t>
      </w:r>
    </w:p>
    <w:bookmarkEnd w:id="110"/>
    <w:bookmarkStart w:id="111" w:name="satisfaction-comparisons-in-chapter-4"/>
    <w:p>
      <w:pPr>
        <w:pStyle w:val="Titre2"/>
      </w:pPr>
      <w:r>
        <w:t xml:space="preserve">Satisfaction comparisons in Chapter 4</w:t>
      </w:r>
    </w:p>
    <w:p>
      <w:pPr>
        <w:pStyle w:val="FirstParagraph"/>
      </w:pPr>
      <w:r>
        <w:t xml:space="preserve">Chapter 4 reports no new estimator. Its group means are the weighted means described above, with the same Kish effective-N confidence intervals, and its rows are the same preferred groups used in Chapters 2 and 3.</w:t>
      </w:r>
    </w:p>
    <w:p>
      <w:pPr>
        <w:pStyle w:val="Corpsdetexte"/>
      </w:pPr>
      <w:r>
        <w:t xml:space="preserve">One variable is transformed. A9 is recorded from 1, Very satisfied, to 5, Very dissatisfied, while every D4 item runs from 1, Strongly Disagree, to 5, Strongly Agree. Chapter 4 reports A9 as 6 minus the recorded response so that all six items point the same way. Subtraction from a constant shifts and reflects the scale without changing its spread, so the confidence interval is unchanged: the overall A9 mean of 2.3 plus or minus 0.06 in Chapter 3 appears as 3.7 plus or minus 0.06 in Chapter 4.</w:t>
      </w:r>
    </w:p>
    <w:p>
      <w:pPr>
        <w:pStyle w:val="Corpsdetexte"/>
      </w:pPr>
      <w:r>
        <w:t xml:space="preserve">The size-and-numbers comparisons are paired. For each respondent who answered both items of a pair, the difference between the two responses is computed first, and the group figure is the weighted mean of those differences with the usual interval. Restricting to respondents who answered both items means the two means printed beside the difference describe the same people, so the difference column equals the difference of the columns. Pairing removes between-angler variation in how the scale is used, which is why a difference of a few hundredths of a scale point can carry a narrower interval than either mean.</w:t>
      </w:r>
    </w:p>
    <w:p>
      <w:pPr>
        <w:pStyle w:val="Corpsdetexte"/>
      </w:pPr>
      <w:r>
        <w:t xml:space="preserve">No significance test is reported in Chapter 4, and no adjustment for multiple comparisons is applied. Each interval is a 95 percent interval for its own group taken alone. Seventeen groups are shown for each pair, and the groups overlap, since a family row contains the respondents in its own species rows; reading every interval at once is therefore a weaker exercise than reading any one of them, and a group whose interval just excludes zero should be read with that in mind. The correlation tables are likewise descriptive summaries with no test attached, and the group-level correlations are computed across 17 overlapping groups rather than across independent observations.</w:t>
      </w:r>
    </w:p>
    <w:p>
      <w:pPr>
        <w:pStyle w:val="Corpsdetexte"/>
      </w:pPr>
      <w:r>
        <w:t xml:space="preserve">The reliability coefficient quoted in Chapter 4 is a weighted raw alpha for the four D4 satisfaction items. It is reported for reference only; no composite score is constructed anywhere in this report, which is item-level throughout.</w:t>
      </w:r>
    </w:p>
    <w:bookmarkEnd w:id="111"/>
    <w:bookmarkStart w:id="121" w:name="angler-type-profiles-in-chapter-5"/>
    <w:p>
      <w:pPr>
        <w:pStyle w:val="Titre2"/>
      </w:pPr>
      <w:r>
        <w:t xml:space="preserve">Angler type profiles in Chapter 5</w:t>
      </w:r>
    </w:p>
    <w:bookmarkStart w:id="112" w:name="the-model"/>
    <w:p>
      <w:pPr>
        <w:pStyle w:val="Titre3"/>
      </w:pPr>
      <w:r>
        <w:t xml:space="preserve">The model</w:t>
      </w:r>
    </w:p>
    <w:p>
      <w:pPr>
        <w:pStyle w:val="FirstParagraph"/>
      </w:pPr>
      <w:r>
        <w:t xml:space="preserve">Chapter 5 groups anglers using a latent profile analysis, a finite mixture model in which each respondent is assumed to belong to one of a number of unobserved profiles and, within a profile, each indicator is normally distributed. The indicators are the eleven scale scores reported in Chapter 3: the four angler-attitude scales, the four motivation scales, and the three regulation scales. Within each profile the eleven indicators are treated as uncorrelated, so each profile is described by eleven means and a set of variances.</w:t>
      </w:r>
    </w:p>
    <w:p>
      <w:pPr>
        <w:pStyle w:val="Corpsdetexte"/>
      </w:pPr>
      <w:r>
        <w:t xml:space="preserve">Models were fitted with the tidySEM package (version 0.2.12), function mx_profiles(), which estimates by maximum likelihood in OpenMx (version 2.22.11). tidySEM obtains starting values from a k-means partition, refines them by simulated annealing, and then runs gradient-based optimization. A fixed random seed (5813) is set before each model so the fits are reproducible. Starting values come from a single k-means run, and the sensitivity of the solution to other starting values has not been examined.</w:t>
      </w:r>
    </w:p>
    <w:bookmarkEnd w:id="112"/>
    <w:bookmarkStart w:id="113" w:name="who-was-fitted"/>
    <w:p>
      <w:pPr>
        <w:pStyle w:val="Titre3"/>
      </w:pPr>
      <w:r>
        <w:t xml:space="preserve">Who was fitted</w:t>
      </w:r>
    </w:p>
    <w:p>
      <w:pPr>
        <w:pStyle w:val="FirstParagraph"/>
      </w:pPr>
      <w:r>
        <w:t xml:space="preserve">Of the 1,915 respondents in the analysis sample, 1,718 (89.7 percent) answered at least 7 of the eleven scales and were included in the fit. The threshold was set before fitting. Where a fitted respondent is missing some scales, the model uses the scales that were answered (full-information maximum likelihood); no values are imputed. The remaining 197 respondents (78 who answered between 1 and 6 scales and 119 who answered none) are reported as Unassigned. They are not dropped: they remain in every Chapter 5 row, and Unassigned appears as its own column, so each row’s percentages are of all respondents in that row.</w:t>
      </w:r>
    </w:p>
    <w:p>
      <w:pPr>
        <w:pStyle w:val="Corpsdetexte"/>
      </w:pPr>
      <w:r>
        <w:t xml:space="preserve">Each scale score carries the completeness gate described under Scale scores and the completeness gate above, so the scores entering the model are the same values summarized in the Chapter 5 profile figures and profile means table.</w:t>
      </w:r>
    </w:p>
    <w:bookmarkEnd w:id="113"/>
    <w:bookmarkStart w:id="114" w:name="choosing-the-number-of-profiles-1"/>
    <w:p>
      <w:pPr>
        <w:pStyle w:val="Titre3"/>
      </w:pPr>
      <w:r>
        <w:t xml:space="preserve">Choosing the number of profiles</w:t>
      </w:r>
    </w:p>
    <w:p>
      <w:pPr>
        <w:pStyle w:val="FirstParagraph"/>
      </w:pPr>
      <w:r>
        <w:t xml:space="preserve">Two within-profile variance structures were fitted: one in which every profile shares the same variance for a given indicator (equal), and one in which each profile has its own variances (varying). Under both structures, models with 1 to 6 profiles were fitted. The equal structure was then extended to 7 and 8 profiles because the Bayesian information criterion (BIC) was still decreasing at 6.</w:t>
      </w:r>
    </w:p>
    <w:p>
      <w:pPr>
        <w:pStyle w:val="Corpsdetexte"/>
      </w:pPr>
      <w:r>
        <w:t xml:space="preserve">The number of profiles was chosen by a stated convention rather than a statistical test: among all fitted models, the one with the lowest BIC, restricted to models in which the smallest profile holds at least 5 percent of fitted respondents and the relative entropy is at least 0.60. Only fits that OpenMx reports as converged (status code 0 or 1) are eligible. BIC is computed as</w:t>
      </w:r>
    </w:p>
    <w:p>
      <w:pPr>
        <w:pStyle w:val="Corpsdetexte"/>
      </w:pPr>
      <m:oMathPara>
        <m:oMathParaPr>
          <m:jc m:val="center"/>
        </m:oMathParaPr>
        <m:oMath>
          <m:r>
            <m:t>B</m:t>
          </m:r>
          <m:r>
            <m:t>I</m:t>
          </m:r>
          <m:r>
            <m:t>C</m:t>
          </m:r>
          <m:r>
            <m:rPr>
              <m:sty m:val="p"/>
            </m:rPr>
            <m:t>=</m:t>
          </m:r>
          <m:r>
            <m:rPr>
              <m:sty m:val="p"/>
            </m:rPr>
            <m:t>−</m:t>
          </m:r>
          <m:r>
            <m:t>2</m:t>
          </m:r>
          <m:r>
            <m:rPr>
              <m:sty m:val="p"/>
            </m:rPr>
            <m:t>log</m:t>
          </m:r>
          <m:r>
            <m:t>L</m:t>
          </m:r>
          <m:r>
            <m:rPr>
              <m:sty m:val="p"/>
            </m:rPr>
            <m:t>+</m:t>
          </m:r>
          <m:r>
            <m:t>p</m:t>
          </m:r>
          <m:r>
            <m:rPr>
              <m:sty m:val="p"/>
            </m:rPr>
            <m:t>ln</m:t>
          </m:r>
          <m:r>
            <m:rPr>
              <m:sty m:val="p"/>
            </m:rPr>
            <m:t>(</m:t>
          </m:r>
          <m:r>
            <m:t>n</m:t>
          </m:r>
          <m:r>
            <m:rPr>
              <m:sty m:val="p"/>
            </m:rPr>
            <m:t>)</m:t>
          </m:r>
        </m:oMath>
      </m:oMathPara>
    </w:p>
    <w:p>
      <w:pPr>
        <w:pStyle w:val="FirstParagraph"/>
      </w:pPr>
      <w:r>
        <w:t xml:space="preserve">with p the number of estimated parameters and n = 1,718. OpenMx’s default summary reports a different, degrees-of-freedom-adjusted BIC; it was not used. Relative entropy summarizes how distinctly respondents are assigned:</w:t>
      </w:r>
    </w:p>
    <w:p>
      <w:pPr>
        <w:pStyle w:val="Corpsdetexte"/>
      </w:pPr>
      <m:oMathPara>
        <m:oMathParaPr>
          <m:jc m:val="center"/>
        </m:oMathParaPr>
        <m:oMath>
          <m:r>
            <m:t>E</m:t>
          </m:r>
          <m:r>
            <m:rPr>
              <m:sty m:val="p"/>
            </m:rPr>
            <m:t>=</m:t>
          </m:r>
          <m:r>
            <m:t>1</m:t>
          </m:r>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acc>
                    <m:accPr>
                      <m:chr m:val="̂"/>
                    </m:accPr>
                    <m:e>
                      <m:r>
                        <m:t>p</m:t>
                      </m:r>
                    </m:e>
                  </m:acc>
                </m:e>
                <m:sub>
                  <m:r>
                    <m:t>i</m:t>
                  </m:r>
                  <m:r>
                    <m:t>j</m:t>
                  </m:r>
                </m:sub>
              </m:sSub>
              <m:r>
                <m:rPr>
                  <m:sty m:val="p"/>
                </m:rPr>
                <m:t>ln</m:t>
              </m:r>
              <m:sSub>
                <m:e>
                  <m:acc>
                    <m:accPr>
                      <m:chr m:val="̂"/>
                    </m:accPr>
                    <m:e>
                      <m:r>
                        <m:t>p</m:t>
                      </m:r>
                    </m:e>
                  </m:acc>
                </m:e>
                <m:sub>
                  <m:r>
                    <m:t>i</m:t>
                  </m:r>
                  <m:r>
                    <m:t>j</m:t>
                  </m:r>
                </m:sub>
              </m:sSub>
            </m:num>
            <m:den>
              <m:r>
                <m:t>n</m:t>
              </m:r>
              <m:r>
                <m:rPr>
                  <m:sty m:val="p"/>
                </m:rPr>
                <m:t>ln</m:t>
              </m:r>
              <m:r>
                <m:t>k</m:t>
              </m:r>
            </m:den>
          </m:f>
        </m:oMath>
      </m:oMathPara>
    </w:p>
    <w:p>
      <w:pPr>
        <w:pStyle w:val="FirstParagraph"/>
      </w:pPr>
      <w:r>
        <w:t xml:space="preserve">where p-hat(ij) is respondent i’s estimated probability of belonging to profile j and k is the number of profiles. It runs from 0 to 1, with 1 indicating that every respondent is assigned with certainty.</w:t>
      </w:r>
    </w:p>
    <w:p>
      <w:pPr>
        <w:pStyle w:val="Corpsdetexte"/>
      </w:pPr>
      <w:r>
        <w:t xml:space="preserve">The selected model has 6 profiles with equal variances: BIC 40,968.9, relative entropy 0.747, smallest profile 120 respondents (7.0 percent of those fitted). The full table of fitted models is given in Chapter 5.</w:t>
      </w:r>
    </w:p>
    <w:bookmarkEnd w:id="114"/>
    <w:bookmarkStart w:id="115" w:name="models-that-were-fitted-but-not-eligible"/>
    <w:p>
      <w:pPr>
        <w:pStyle w:val="Titre3"/>
      </w:pPr>
      <w:r>
        <w:t xml:space="preserve">Models that were fitted but not eligible</w:t>
      </w:r>
    </w:p>
    <w:p>
      <w:pPr>
        <w:pStyle w:val="FirstParagraph"/>
      </w:pPr>
      <w:r>
        <w:t xml:space="preserve">Four fits had a lower BIC than the selected model and were excluded under the convention above. The 7- and 8-profile equal-variance models (BIC 40,774.7 and 40,717.5) converged, but their smallest profiles hold 4.1 and 3.3 percent of fitted respondents, below the 5 percent floor. Because BIC continued to decrease through 8 profiles, the selected model is the largest equal-variance model that satisfies the floor rather than the point at which BIC stops improving.</w:t>
      </w:r>
    </w:p>
    <w:p>
      <w:pPr>
        <w:pStyle w:val="Corpsdetexte"/>
      </w:pPr>
      <w:r>
        <w:t xml:space="preserve">The 5- and 6-profile varying-variance models (BIC 39,307.8 and 38,746.6) did not converge (OpenMx status code 6: first-order optimality conditions not met). Inspection showed the cause. In each, one profile (271 and 277 respondents) contains only respondents whose Site-specific regulation score is exactly 5, the top of the scale, among those who answered it (267 of 267 and 273 of 273). That profile’s variance on the indicator shrinks toward zero (estimates of 5.5e-06 and 3.6e-07). Because the normal likelihood increases without limit as a variance approaches zero, the lower BIC of these two models reflects that collapse rather than a better description of the data. A further optimization attempt was not made, since it would search the same unbounded region. Placing a lower bound on the variances was considered and not adopted, because it would change the model specification. Both fits are excluded.</w:t>
      </w:r>
    </w:p>
    <w:bookmarkEnd w:id="115"/>
    <w:bookmarkStart w:id="116" w:name="assigning-respondents-to-profiles"/>
    <w:p>
      <w:pPr>
        <w:pStyle w:val="Titre3"/>
      </w:pPr>
      <w:r>
        <w:t xml:space="preserve">Assigning respondents to profiles</w:t>
      </w:r>
    </w:p>
    <w:p>
      <w:pPr>
        <w:pStyle w:val="FirstParagraph"/>
      </w:pPr>
      <w:r>
        <w:t xml:space="preserve">Each fitted respondent is assigned to the profile with the highest estimated membership probability. Assignment is not certain: the average probability of the assigned profile among its members is at least 0.759 for every profile. Certainty also depends on how many scales a respondent answered. Mean assigned-profile probability is 0.839 for respondents who answered all eleven scales (1,373 respondents), 0.799 for respondents who answered ten (209 respondents), 0.722 for respondents who answered seven to nine (136 respondents); the share assigned with probability below 0.70 is 23.5, 32.1, 44.9 percent respectively. The profile numbers are arbitrary labels produced by the estimation and carry no order.</w:t>
      </w:r>
    </w:p>
    <w:bookmarkEnd w:id="116"/>
    <w:bookmarkStart w:id="117" w:name="weights"/>
    <w:p>
      <w:pPr>
        <w:pStyle w:val="Titre3"/>
      </w:pPr>
      <w:r>
        <w:t xml:space="preserve">Weights</w:t>
      </w:r>
    </w:p>
    <w:p>
      <w:pPr>
        <w:pStyle w:val="FirstParagraph"/>
      </w:pPr>
      <w:r>
        <w:t xml:space="preserve">The model is fitted without the survey weights: each fitted respondent contributes equally to the estimated profiles. Everything reported from the model is then weighted in the same way as the rest of this report. The share of each profile in each row is a weighted percentage with the Kish effective-N confidence interval, and the profile means in the Chapter 5 figures and profile means table are weighted means with the Kish effective-N confidence interval, computed from the assigned respondents. These weighted means are therefore not the same quantities as the unweighted means the model estimated for each profile. Whether the fitting software can carry survey weights into the estimation was not verified. The model diagnostics and the assignment-certainty table are unweighted model quantities.</w:t>
      </w:r>
    </w:p>
    <w:bookmarkEnd w:id="117"/>
    <w:bookmarkStart w:id="118" w:name="reporting-floor-for-species-rows"/>
    <w:p>
      <w:pPr>
        <w:pStyle w:val="Titre3"/>
      </w:pPr>
      <w:r>
        <w:t xml:space="preserve">Reporting floor for species rows</w:t>
      </w:r>
    </w:p>
    <w:p>
      <w:pPr>
        <w:pStyle w:val="FirstParagraph"/>
      </w:pPr>
      <w:r>
        <w:t xml:space="preserve">Chapter 5 is the only chapter of this report that withholds rows. Before the model was fitted, a floor of 30 on the Kish effective sample size was set for species rows, adopting the effective-sample-size element of the National Center for Health Statistics data presentation standards for proportions (Parker JD, Talih M, Malec DJ, et al. National Center for Health Statistics Data Presentation Standards for Proportions. Vital and Health Statistics, Series 2, No. 175. 2017). Only that element is adopted: the NCHS standard also calls for a raw sample size of at least 30 and for Korn-Graubard confidence intervals with width criteria, while this report’s intervals are Wald intervals on the Kish effective N, as described above, and no width criterion is applied.</w:t>
      </w:r>
    </w:p>
    <w:p>
      <w:pPr>
        <w:pStyle w:val="Corpsdetexte"/>
      </w:pPr>
      <w:r>
        <w:t xml:space="preserve">Four rows fall below the floor and are not shown in the Chapter 5 tables: Yellow perch (12 respondents, effective N 11.1); Blue catfish (27 respondents, effective N 22.6); Northern pike (32 respondents, effective N 26.9); Muskellunge / Tiger musky (8 respondents, effective N 7.3). The floor applies to reporting only; these respondents are included in the model fit and in the Overall row. Yellow perch and Blue catfish respondents are also contained in the Panfish / Sunfish and Catfish family rows, respectively. Northern pike and Muskellunge / Tiger musky have no family row, so their respondents appear in no displayed Chapter 5 species row. Where a profile has no respondents in a displayed row, the percentage is 0 and the Wald interval has zero width; this is a property of the interval formula, not a measurement of certainty.</w:t>
      </w:r>
    </w:p>
    <w:bookmarkEnd w:id="118"/>
    <w:bookmarkStart w:id="119" w:name="comparisons-on-other-survey-questions"/>
    <w:p>
      <w:pPr>
        <w:pStyle w:val="Titre3"/>
      </w:pPr>
      <w:r>
        <w:t xml:space="preserve">Comparisons on other survey questions</w:t>
      </w:r>
    </w:p>
    <w:p>
      <w:pPr>
        <w:pStyle w:val="FirstParagraph"/>
      </w:pPr>
      <w:r>
        <w:t xml:space="preserve">The Chapter 5 table of profiles on other survey questions uses the same estimators as Chapter 3: weighted percentages and means with Kish effective-N intervals, and weighted medians with the bootstrap interval described above. Each question keeps its Chapter 3 universe, and the Overall column reproduces the Overall row of the corresponding Chapter 3 table. Unassigned respondents are counted in Overall only. One row is constructed for this chapter: a respondent counts as fishing rivers and streams if they reported the Missouri River, the Platte River, or other streams, rivers, and canals, among respondents who answered the waterbody question.</w:t>
      </w:r>
    </w:p>
    <w:p>
      <w:pPr>
        <w:pStyle w:val="Corpsdetexte"/>
      </w:pPr>
      <w:r>
        <w:t xml:space="preserve">These comparisons treat each respondent’s assigned profile as known. Because assignment is uncertain, some respondents are counted in a profile they may not belong to, which tends to make the profiles look more alike on these questions than they are; the differences shown are therefore more likely understated than overstated. The profile paragraphs name a family group when it makes up at least 5 percentage points more of a profile than of all assigned respondents, as a reminder that species preference and profile membership are related. No adjustment for species mix is made.</w:t>
      </w:r>
    </w:p>
    <w:bookmarkEnd w:id="119"/>
    <w:bookmarkStart w:id="120" w:name="what-is-not-reported"/>
    <w:p>
      <w:pPr>
        <w:pStyle w:val="Titre3"/>
      </w:pPr>
      <w:r>
        <w:t xml:space="preserve">What is not reported</w:t>
      </w:r>
    </w:p>
    <w:p>
      <w:pPr>
        <w:pStyle w:val="FirstParagraph"/>
      </w:pPr>
      <w:r>
        <w:t xml:space="preserve">No significance test is reported in Chapter 5, and the profile shares in different rows are not formally compared. As in other chapters, the species rows overlap and must not be totalled.</w:t>
      </w:r>
    </w:p>
    <w:bookmarkEnd w:id="120"/>
    <w:bookmarkEnd w:id="121"/>
    <w:bookmarkStart w:id="122"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Corpsdetexte"/>
      </w:pPr>
      <w:r>
        <w:t xml:space="preserve">For the same reason, the paired difference columns in Chapter 4 carry two decimal places rather than the one used for the means beside them. The overall difference between satisfaction with size and satisfaction with numbers is 0.07, which one decimal place would print as 0.1 next to an interval of 0.06.</w:t>
      </w:r>
    </w:p>
    <w:p>
      <w:pPr>
        <w:pStyle w:val="SourceCode"/>
      </w:pPr>
      <w:r>
        <w:rPr>
          <w:rStyle w:val="VerbatimChar"/>
        </w:rPr>
        <w:t xml:space="preserve">## Report Took : 114.17 sec elapsed</w:t>
      </w:r>
    </w:p>
    <w:bookmarkEnd w:id="122"/>
    <w:bookmarkEnd w:id="123"/>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fadcfeec8fef039c078a3f53e4351992b3bf1a19.png"/>
<Relationship Id="rId20" Type="http://schemas.openxmlformats.org/officeDocument/2006/relationships/image" Target="media/33ec0abe63a2681ad7b4e369cda8fc4c8723be8b.png"/>
<Relationship Id="rId21" Type="http://schemas.openxmlformats.org/officeDocument/2006/relationships/image" Target="media/0831e03c90a97724b0bcf54678bb109a4014ee41.png"/>
<Relationship Id="rId22" Type="http://schemas.openxmlformats.org/officeDocument/2006/relationships/image" Target="media/c67883b10c2bac90e23a5e45f24897801738083b.png"/>
<Relationship Id="rId23" Type="http://schemas.openxmlformats.org/officeDocument/2006/relationships/image" Target="media/88cc9e0418cbd80c0763a5f547ec9e1b9c914647.png"/>
<Relationship Id="rId24" Type="http://schemas.openxmlformats.org/officeDocument/2006/relationships/image" Target="media/42c9de3fd899d4aad2a4a86bd007807987c2e034.png"/>
<Relationship Id="rId25" Type="http://schemas.openxmlformats.org/officeDocument/2006/relationships/image" Target="media/b60de758c39d08b60c44b67732a636fdeaaf2436.png"/>
<Relationship Id="rId26" Type="http://schemas.openxmlformats.org/officeDocument/2006/relationships/image" Target="media/6e29c7752ff75d3f161e37daddcbd9dd4d358201.png"/>
<Relationship Id="rId27" Type="http://schemas.openxmlformats.org/officeDocument/2006/relationships/image" Target="media/a9a86f402a16e0f594ff5429031227cab9cd7177.png"/>
<Relationship Id="rId28" Type="http://schemas.openxmlformats.org/officeDocument/2006/relationships/image" Target="media/8852d6ab86f6bcbd7a48c98aaef420ff445e2196.png"/>
<Relationship Id="rId29" Type="http://schemas.openxmlformats.org/officeDocument/2006/relationships/image" Target="media/878081cd3d944ebcc19dbf26667b60f2ece52d87.png"/>
<Relationship Id="rId30" Type="http://schemas.openxmlformats.org/officeDocument/2006/relationships/image" Target="media/997741b7471aa61792337a7341b797daf51b6381.png"/>
<Relationship Id="rId31" Type="http://schemas.openxmlformats.org/officeDocument/2006/relationships/image" Target="media/f842a23a70456c4d58fa5066cd20cda836e7d8e7.png"/>
<Relationship Id="rId32" Type="http://schemas.openxmlformats.org/officeDocument/2006/relationships/image" Target="media/95d3b401b50fdbbb96fe285f62407692b9d881d9.png"/>
<Relationship Id="rId33" Type="http://schemas.openxmlformats.org/officeDocument/2006/relationships/image" Target="media/688250e67ff11ad0f3c025b82a2a52a743ae34dc.png"/>
<Relationship Id="rId34" Type="http://schemas.openxmlformats.org/officeDocument/2006/relationships/image" Target="media/44d05fd333e5db5331807d8b56919d1f7a71da7f.png"/>
<Relationship Id="rId35" Type="http://schemas.openxmlformats.org/officeDocument/2006/relationships/image" Target="media/a3cd870103ed59fa0635aea132f68b7586272063.png"/>
<Relationship Id="rId36" Type="http://schemas.openxmlformats.org/officeDocument/2006/relationships/image" Target="media/81a0df14d834862657bc1d4c198022d1cd5ef009.png"/>
<Relationship Id="rId37" Type="http://schemas.openxmlformats.org/officeDocument/2006/relationships/image" Target="media/7fbf4781f62ec8b2d0dde5bbb3ab5dd48e5a7bc6.png"/>
<Relationship Id="rId38" Type="http://schemas.openxmlformats.org/officeDocument/2006/relationships/image" Target="media/33c131fb71079355c9e232f589aae97b5528daf1.png"/>
<Relationship Id="rId39" Type="http://schemas.openxmlformats.org/officeDocument/2006/relationships/image" Target="media/3a0de67e2f45b53e371e784a58cba9088f6ca720.png"/>
<Relationship Id="rId40" Type="http://schemas.openxmlformats.org/officeDocument/2006/relationships/image" Target="media/9665483f8ec27ba217ae9f151ad6c6b818d5b162.png"/>
<Relationship Id="rId41" Type="http://schemas.openxmlformats.org/officeDocument/2006/relationships/image" Target="media/3abcfde3e7eb43c374458c9e4d272b9162fb8f2b.png"/>
<Relationship Id="rId42" Type="http://schemas.openxmlformats.org/officeDocument/2006/relationships/image" Target="media/dd675d436528d88a85b90b51c2bdec2828b30fed.png"/>
<Relationship Id="rId43" Type="http://schemas.openxmlformats.org/officeDocument/2006/relationships/image" Target="media/f7b5d43b8ec32f6c93441129d706e20309b8a738.png"/>
<Relationship Id="rId44" Type="http://schemas.openxmlformats.org/officeDocument/2006/relationships/image" Target="media/ff239e761b9732c60baf0a464581252ad0e35c7e.png"/>
<Relationship Id="rId45" Type="http://schemas.openxmlformats.org/officeDocument/2006/relationships/image" Target="media/85b1c32a0a03868d5af480c860b86fc7e06e32c7.png"/>
<Relationship Id="rId46" Type="http://schemas.openxmlformats.org/officeDocument/2006/relationships/image" Target="media/763cd0b1a769c1690e28c1dbb87eb33ea138b306.png"/>
<Relationship Id="rId47" Type="http://schemas.openxmlformats.org/officeDocument/2006/relationships/image" Target="media/a35c4e030a06127ac28e626b7f8615131aa01297.png"/>
<Relationship Id="rId48" Type="http://schemas.openxmlformats.org/officeDocument/2006/relationships/image" Target="media/8c91c15eb7bc7a5a70f6477b1834015b240e8eb3.png"/>
<Relationship Id="rId49" Type="http://schemas.openxmlformats.org/officeDocument/2006/relationships/image" Target="media/9bdc179280131321d2d784cffac5bf71d446930a.png"/>
<Relationship Id="rId50" Type="http://schemas.openxmlformats.org/officeDocument/2006/relationships/image" Target="media/f1147d7036d2dff685554ee65fe4ff3c0ee839b3.png"/>
<Relationship Id="rId51" Type="http://schemas.openxmlformats.org/officeDocument/2006/relationships/image" Target="media/284fb7ba213d98a1b8b68302cc0557eab670c1d3.png"/>
<Relationship Id="rId52" Type="http://schemas.openxmlformats.org/officeDocument/2006/relationships/image" Target="media/ad29bd76c4b9420f9ec14f9212ce938a1e81321b.png"/>
<Relationship Id="rId53" Type="http://schemas.openxmlformats.org/officeDocument/2006/relationships/image" Target="media/2edca17252685c788627936dfd5d0cc791d81091.png"/>
<Relationship Id="rId54" Type="http://schemas.openxmlformats.org/officeDocument/2006/relationships/image" Target="media/06773c8a2c678006343588ca19ea6e66cf7e681d.png"/>
<Relationship Id="rId55" Type="http://schemas.openxmlformats.org/officeDocument/2006/relationships/image" Target="media/cf7c914dec40e37146fdc8375550a1957d4fb2d2.png"/>
<Relationship Id="rId56" Type="http://schemas.openxmlformats.org/officeDocument/2006/relationships/image" Target="media/bb270b5c3e840f37e23e7a1661d431c1aecf53a2.png"/>
<Relationship Id="rId57" Type="http://schemas.openxmlformats.org/officeDocument/2006/relationships/image" Target="media/91ed03afc8909baa5c6fc31c771dcd2760ccbca7.png"/>
<Relationship Id="rId58" Type="http://schemas.openxmlformats.org/officeDocument/2006/relationships/image" Target="media/08f0d2f8fff6afde4f1b49e3083aa0fd4f0f0e0d.png"/>
<Relationship Id="rId59" Type="http://schemas.openxmlformats.org/officeDocument/2006/relationships/image" Target="media/38caaa5d7020aaa73e3b600c7abf952f41d7c943.png"/>
<Relationship Id="rId60" Type="http://schemas.openxmlformats.org/officeDocument/2006/relationships/image" Target="media/f2df676319fb8416f7040cd45444e24ee00a2ef1.png"/>
<Relationship Id="rId61" Type="http://schemas.openxmlformats.org/officeDocument/2006/relationships/image" Target="media/424780dd0be7a99c850535181a3246df947ea97c.png"/>
<Relationship Id="rId62" Type="http://schemas.openxmlformats.org/officeDocument/2006/relationships/image" Target="media/a72b7ef1e56f1741cb2ec37c535fde56cfb3ddb5.png"/>
<Relationship Id="rId63" Type="http://schemas.openxmlformats.org/officeDocument/2006/relationships/image" Target="media/ee2041f1bdb1e81c521f2bee84cdcdc87379346b.png"/>
<Relationship Id="rId64" Type="http://schemas.openxmlformats.org/officeDocument/2006/relationships/image" Target="media/38bad2e58a5b72ff6595ac79fdccb7748607b129.png"/>
<Relationship Id="rId65" Type="http://schemas.openxmlformats.org/officeDocument/2006/relationships/image" Target="media/063ff4573c3a23db3ec2e5afa34d75d70fa9d4cd.png"/>
<Relationship Id="rId66" Type="http://schemas.openxmlformats.org/officeDocument/2006/relationships/image" Target="media/8d90b7a1275646a500fc7373533f471e864cc44d.png"/>
<Relationship Id="rId67" Type="http://schemas.openxmlformats.org/officeDocument/2006/relationships/image" Target="media/4cf70255d6469458590a46445fac9795ab8f581a.png"/>
<Relationship Id="rId68" Type="http://schemas.openxmlformats.org/officeDocument/2006/relationships/image" Target="media/0c44f5f21b5487bd998e1a3e1418d89ba618d5f0.png"/>
<Relationship Id="rId69" Type="http://schemas.openxmlformats.org/officeDocument/2006/relationships/image" Target="media/169fc842cbbec904a5d4cdbef3ea5d8ed19407e4.png"/>
<Relationship Id="rId70" Type="http://schemas.openxmlformats.org/officeDocument/2006/relationships/image" Target="media/a0afa56040adc76ecfed5472503a29cc19fbb911.png"/>
<Relationship Id="rId71" Type="http://schemas.openxmlformats.org/officeDocument/2006/relationships/image" Target="media/cbbec0b34fa9153ee814b09c5c1c86c2f724f75c.png"/>
<Relationship Id="rId72" Type="http://schemas.openxmlformats.org/officeDocument/2006/relationships/image" Target="media/dd6438a111392ba108bacefdfcb4286397a7d488.png"/>
<Relationship Id="rId73" Type="http://schemas.openxmlformats.org/officeDocument/2006/relationships/image" Target="media/7d4a410a0827eb0f09f458217bf28d79897b3fb6.png"/>
<Relationship Id="rId74" Type="http://schemas.openxmlformats.org/officeDocument/2006/relationships/image" Target="media/a8ac538d90c073de6b5e52fc86f9679904723285.png"/>
<Relationship Id="rId75" Type="http://schemas.openxmlformats.org/officeDocument/2006/relationships/image" Target="media/c442f86cd6056d90b42c768af7c19f921664d55c.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2026-09-24T20:48:56Z</dcterms:created>
  <dcterms:modified xsi:type="dcterms:W3CDTF">2026-09-24T15:49:45Z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