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xml:space="preserve">            More commercial projects lose money in closeout than in construction. Substantial completion is delayed by punch list disputes; final retainage release is delayed by missing closeout documents; warranty period starts late because the substantial completion certificate is never executed. This package addresses the three closeout instruments in sequence: (1) the Substantial Completion Certificate that triggers warranty start and partial retainage release; (2) the Punch List that itemizes residual work; and (3) the Closeout Document Checklist that captures everything required for final acceptance and final retainage release. Run all three rigorously and final payment lands in 30–60 days. Run them loosely and final payment drags 6+ months.</w:t>
        <w:br/>
        <w:t xml:space="preserve">        </w:t>
      </w:r>
    </w:p>
    <w:p>
      <w:pPr>
        <w:pStyle w:val="ListNumber"/>
      </w:pPr>
      <w:r>
        <w:t>Closeout Sequence — Substantial Completion → Punch List → Final Acceptance</w:t>
      </w:r>
    </w:p>
    <w:p>
      <w:pPr>
        <w:pStyle w:val="ListNumber"/>
      </w:pPr>
      <w:r>
        <w:t>Certificate of Substantial Completion</w:t>
      </w:r>
    </w:p>
    <w:p>
      <w:pPr>
        <w:pStyle w:val="ListNumber"/>
      </w:pPr>
      <w:r>
        <w:t>Punch List Form + Project Punch Register</w:t>
      </w:r>
    </w:p>
    <w:p>
      <w:pPr>
        <w:pStyle w:val="ListNumber"/>
      </w:pPr>
      <w:r>
        <w:t>Closeout Document Checklist (40+ items)</w:t>
      </w:r>
    </w:p>
    <w:p>
      <w:pPr>
        <w:pStyle w:val="ListNumber"/>
      </w:pPr>
      <w:r>
        <w:t>Certificate of Final Completion + Final Acceptance</w:t>
      </w:r>
    </w:p>
    <w:p>
      <w:pPr>
        <w:pStyle w:val="ListNumber"/>
      </w:pPr>
      <w:r>
        <w:t>Retainage Release Sequence</w:t>
      </w:r>
    </w:p>
    <w:p>
      <w:r>
        <w:t>The standard closeout sequence on a commercial project: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Event</w:t>
            </w:r>
          </w:p>
        </w:tc>
        <w:tc>
          <w:tcPr>
            <w:tcW w:type="dxa" w:w="2160"/>
          </w:tcPr>
          <w:p>
            <w:r>
              <w:t>Effect</w:t>
            </w:r>
          </w:p>
        </w:tc>
        <w:tc>
          <w:tcPr>
            <w:tcW w:type="dxa" w:w="2160"/>
          </w:tcPr>
          <w:p>
            <w:r>
              <w:t>Typical Timing</w:t>
            </w:r>
          </w:p>
        </w:tc>
      </w:tr>
      <w:tr>
        <w:tc>
          <w:tcPr>
            <w:tcW w:type="dxa" w:w="2160"/>
          </w:tcPr>
          <w:p>
            <w:r>
              <w:t>1</w:t>
            </w:r>
          </w:p>
        </w:tc>
        <w:tc>
          <w:tcPr>
            <w:tcW w:type="dxa" w:w="2160"/>
          </w:tcPr>
          <w:p>
            <w:r>
              <w:t>Contractor declares substantial completion</w:t>
            </w:r>
          </w:p>
        </w:tc>
        <w:tc>
          <w:tcPr>
            <w:tcW w:type="dxa" w:w="2160"/>
          </w:tcPr>
          <w:p>
            <w:r>
              <w:t>Triggers architect's punch list walk</w:t>
            </w:r>
          </w:p>
        </w:tc>
        <w:tc>
          <w:tcPr>
            <w:tcW w:type="dxa" w:w="2160"/>
          </w:tcPr>
          <w:p>
            <w:r>
              <w:t>When work is sufficiently complete that owner can occupy / use</w:t>
            </w:r>
          </w:p>
        </w:tc>
      </w:tr>
      <w:tr>
        <w:tc>
          <w:tcPr>
            <w:tcW w:type="dxa" w:w="2160"/>
          </w:tcPr>
          <w:p>
            <w:r>
              <w:t>2</w:t>
            </w:r>
          </w:p>
        </w:tc>
        <w:tc>
          <w:tcPr>
            <w:tcW w:type="dxa" w:w="2160"/>
          </w:tcPr>
          <w:p>
            <w:r>
              <w:t>Architect punch list walk</w:t>
            </w:r>
          </w:p>
        </w:tc>
        <w:tc>
          <w:tcPr>
            <w:tcW w:type="dxa" w:w="2160"/>
          </w:tcPr>
          <w:p>
            <w:r>
              <w:t>Generates the punch list — itemized list of remaining incomplete or non-conforming work</w:t>
            </w:r>
          </w:p>
        </w:tc>
        <w:tc>
          <w:tcPr>
            <w:tcW w:type="dxa" w:w="2160"/>
          </w:tcPr>
          <w:p>
            <w:r>
              <w:t>Within 7–14 days of contractor's substantial completion declaration</w:t>
            </w:r>
          </w:p>
        </w:tc>
      </w:tr>
      <w:tr>
        <w:tc>
          <w:tcPr>
            <w:tcW w:type="dxa" w:w="2160"/>
          </w:tcPr>
          <w:p>
            <w:r>
              <w:t>3</w:t>
            </w:r>
          </w:p>
        </w:tc>
        <w:tc>
          <w:tcPr>
            <w:tcW w:type="dxa" w:w="2160"/>
          </w:tcPr>
          <w:p>
            <w:r>
              <w:t>Architect issues Certificate of Substantial Completion</w:t>
            </w:r>
          </w:p>
        </w:tc>
        <w:tc>
          <w:tcPr>
            <w:tcW w:type="dxa" w:w="2160"/>
          </w:tcPr>
          <w:p>
            <w:r>
              <w:t>Establishes substantial completion date; warranty period starts; partial retainage released; punch list deadline established</w:t>
            </w:r>
          </w:p>
        </w:tc>
        <w:tc>
          <w:tcPr>
            <w:tcW w:type="dxa" w:w="2160"/>
          </w:tcPr>
          <w:p>
            <w:r>
              <w:t>Once architect agrees substantial completion has been achieved (typically with punch list attached)</w:t>
            </w:r>
          </w:p>
        </w:tc>
      </w:tr>
      <w:tr>
        <w:tc>
          <w:tcPr>
            <w:tcW w:type="dxa" w:w="2160"/>
          </w:tcPr>
          <w:p>
            <w:r>
              <w:t>4</w:t>
            </w:r>
          </w:p>
        </w:tc>
        <w:tc>
          <w:tcPr>
            <w:tcW w:type="dxa" w:w="2160"/>
          </w:tcPr>
          <w:p>
            <w:r>
              <w:t>Contractor completes punch list</w:t>
            </w:r>
          </w:p>
        </w:tc>
        <w:tc>
          <w:tcPr>
            <w:tcW w:type="dxa" w:w="2160"/>
          </w:tcPr>
          <w:p>
            <w:r>
              <w:t>Each item completed and re-inspected</w:t>
            </w:r>
          </w:p>
        </w:tc>
        <w:tc>
          <w:tcPr>
            <w:tcW w:type="dxa" w:w="2160"/>
          </w:tcPr>
          <w:p>
            <w:r>
              <w:t>30 days from substantial completion (typical)</w:t>
            </w:r>
          </w:p>
        </w:tc>
      </w:tr>
      <w:tr>
        <w:tc>
          <w:tcPr>
            <w:tcW w:type="dxa" w:w="2160"/>
          </w:tcPr>
          <w:p>
            <w:r>
              <w:t>5</w:t>
            </w:r>
          </w:p>
        </w:tc>
        <w:tc>
          <w:tcPr>
            <w:tcW w:type="dxa" w:w="2160"/>
          </w:tcPr>
          <w:p>
            <w:r>
              <w:t>Contractor delivers closeout document package</w:t>
            </w:r>
          </w:p>
        </w:tc>
        <w:tc>
          <w:tcPr>
            <w:tcW w:type="dxa" w:w="2160"/>
          </w:tcPr>
          <w:p>
            <w:r>
              <w:t>All required closeout documents (warranties, O&amp;M manuals, as-built drawings, attic stock, certificates, lien waivers)</w:t>
            </w:r>
          </w:p>
        </w:tc>
        <w:tc>
          <w:tcPr>
            <w:tcW w:type="dxa" w:w="2160"/>
          </w:tcPr>
          <w:p>
            <w:r>
              <w:t>Concurrent with punch list completion</w:t>
            </w:r>
          </w:p>
        </w:tc>
      </w:tr>
      <w:tr>
        <w:tc>
          <w:tcPr>
            <w:tcW w:type="dxa" w:w="2160"/>
          </w:tcPr>
          <w:p>
            <w:r>
              <w:t>6</w:t>
            </w:r>
          </w:p>
        </w:tc>
        <w:tc>
          <w:tcPr>
            <w:tcW w:type="dxa" w:w="2160"/>
          </w:tcPr>
          <w:p>
            <w:r>
              <w:t>Architect issues Certificate of Final Completion</w:t>
            </w:r>
          </w:p>
        </w:tc>
        <w:tc>
          <w:tcPr>
            <w:tcW w:type="dxa" w:w="2160"/>
          </w:tcPr>
          <w:p>
            <w:r>
              <w:t>Final acceptance; final retainage released; final payment due per contract</w:t>
            </w:r>
          </w:p>
        </w:tc>
        <w:tc>
          <w:tcPr>
            <w:tcW w:type="dxa" w:w="2160"/>
          </w:tcPr>
          <w:p>
            <w:r>
              <w:t>After punch list completion + closeout document acceptance</w:t>
            </w:r>
          </w:p>
        </w:tc>
      </w:tr>
      <w:tr>
        <w:tc>
          <w:tcPr>
            <w:tcW w:type="dxa" w:w="2160"/>
          </w:tcPr>
          <w:p>
            <w:r>
              <w:t>7</w:t>
            </w:r>
          </w:p>
        </w:tc>
        <w:tc>
          <w:tcPr>
            <w:tcW w:type="dxa" w:w="2160"/>
          </w:tcPr>
          <w:p>
            <w:r>
              <w:t>Owner makes final payment</w:t>
            </w:r>
          </w:p>
        </w:tc>
        <w:tc>
          <w:tcPr>
            <w:tcW w:type="dxa" w:w="2160"/>
          </w:tcPr>
          <w:p>
            <w:r>
              <w:t>Last payment in cycle; project financially closed</w:t>
            </w:r>
          </w:p>
        </w:tc>
        <w:tc>
          <w:tcPr>
            <w:tcW w:type="dxa" w:w="2160"/>
          </w:tcPr>
          <w:p>
            <w:r>
              <w:t>30–60 days from Certificate of Final Completion per contract</w:t>
            </w:r>
          </w:p>
        </w:tc>
      </w:tr>
    </w:tbl>
    <w:tbl>
      <w:tblPr>
        <w:tblStyle w:val="LightGrid-Accent1"/>
        <w:tblW w:type="auto" w:w="0"/>
        <w:tblLook w:firstColumn="1" w:firstRow="1" w:lastColumn="0" w:lastRow="0" w:noHBand="0" w:noVBand="1" w:val="04A0"/>
      </w:tblPr>
      <w:tblGrid>
        <w:gridCol w:w="4320"/>
        <w:gridCol w:w="4320"/>
      </w:tblGrid>
      <w:tr>
        <w:tc>
          <w:tcPr>
            <w:tcW w:type="dxa" w:w="4320"/>
          </w:tcPr>
          <w:p>
            <w:r>
              <w:t>Project:</w:t>
            </w:r>
          </w:p>
        </w:tc>
        <w:tc>
          <w:tcPr>
            <w:tcW w:type="dxa" w:w="4320"/>
          </w:tcPr>
          <w:p>
            <w:r>
              <w:t>[Project name]</w:t>
            </w:r>
          </w:p>
        </w:tc>
      </w:tr>
      <w:tr>
        <w:tc>
          <w:tcPr>
            <w:tcW w:type="dxa" w:w="4320"/>
          </w:tcPr>
          <w:p>
            <w:r>
              <w:t>Project Address:</w:t>
            </w:r>
          </w:p>
        </w:tc>
        <w:tc>
          <w:tcPr>
            <w:tcW w:type="dxa" w:w="4320"/>
          </w:tcPr>
          <w:p>
            <w:r>
              <w:t>[Address]</w:t>
            </w:r>
          </w:p>
        </w:tc>
      </w:tr>
      <w:tr>
        <w:tc>
          <w:tcPr>
            <w:tcW w:type="dxa" w:w="4320"/>
          </w:tcPr>
          <w:p>
            <w:r>
              <w:t>Owner:</w:t>
            </w:r>
          </w:p>
        </w:tc>
        <w:tc>
          <w:tcPr>
            <w:tcW w:type="dxa" w:w="4320"/>
          </w:tcPr>
          <w:p>
            <w:r>
              <w:t>[Owner legal name]</w:t>
            </w:r>
          </w:p>
        </w:tc>
      </w:tr>
      <w:tr>
        <w:tc>
          <w:tcPr>
            <w:tcW w:type="dxa" w:w="4320"/>
          </w:tcPr>
          <w:p>
            <w:r>
              <w:t>Contractor:</w:t>
            </w:r>
          </w:p>
        </w:tc>
        <w:tc>
          <w:tcPr>
            <w:tcW w:type="dxa" w:w="4320"/>
          </w:tcPr>
          <w:p>
            <w:r>
              <w:t>[GC legal name]</w:t>
            </w:r>
          </w:p>
        </w:tc>
      </w:tr>
      <w:tr>
        <w:tc>
          <w:tcPr>
            <w:tcW w:type="dxa" w:w="4320"/>
          </w:tcPr>
          <w:p>
            <w:r>
              <w:t>Architect:</w:t>
            </w:r>
          </w:p>
        </w:tc>
        <w:tc>
          <w:tcPr>
            <w:tcW w:type="dxa" w:w="4320"/>
          </w:tcPr>
          <w:p>
            <w:r>
              <w:t>[Architect firm]</w:t>
            </w:r>
          </w:p>
        </w:tc>
      </w:tr>
      <w:tr>
        <w:tc>
          <w:tcPr>
            <w:tcW w:type="dxa" w:w="4320"/>
          </w:tcPr>
          <w:p>
            <w:r>
              <w:t>Owner-Contractor Contract Dated:</w:t>
            </w:r>
          </w:p>
        </w:tc>
        <w:tc>
          <w:tcPr>
            <w:tcW w:type="dxa" w:w="4320"/>
          </w:tcPr>
          <w:p>
            <w:r>
              <w:t>[Date]</w:t>
            </w:r>
          </w:p>
        </w:tc>
      </w:tr>
      <w:tr>
        <w:tc>
          <w:tcPr>
            <w:tcW w:type="dxa" w:w="4320"/>
          </w:tcPr>
          <w:p>
            <w:r>
              <w:t>Original Contract Sum:</w:t>
            </w:r>
          </w:p>
        </w:tc>
        <w:tc>
          <w:tcPr>
            <w:tcW w:type="dxa" w:w="4320"/>
          </w:tcPr>
          <w:p>
            <w:r>
              <w:t>$[Original sum]</w:t>
            </w:r>
          </w:p>
        </w:tc>
      </w:tr>
      <w:tr>
        <w:tc>
          <w:tcPr>
            <w:tcW w:type="dxa" w:w="4320"/>
          </w:tcPr>
          <w:p>
            <w:r>
              <w:t>Net Change by Change Orders Through Substantial Completion:</w:t>
            </w:r>
          </w:p>
        </w:tc>
        <w:tc>
          <w:tcPr>
            <w:tcW w:type="dxa" w:w="4320"/>
          </w:tcPr>
          <w:p>
            <w:r>
              <w:t>$[Net of COs]</w:t>
            </w:r>
          </w:p>
        </w:tc>
      </w:tr>
      <w:tr>
        <w:tc>
          <w:tcPr>
            <w:tcW w:type="dxa" w:w="4320"/>
          </w:tcPr>
          <w:p>
            <w:r>
              <w:t>Adjusted Contract Sum:</w:t>
            </w:r>
          </w:p>
        </w:tc>
        <w:tc>
          <w:tcPr>
            <w:tcW w:type="dxa" w:w="4320"/>
          </w:tcPr>
          <w:p>
            <w:r>
              <w:t>$[Adjusted sum]</w:t>
            </w:r>
          </w:p>
        </w:tc>
      </w:tr>
      <w:tr>
        <w:tc>
          <w:tcPr>
            <w:tcW w:type="dxa" w:w="4320"/>
          </w:tcPr>
          <w:p>
            <w:r>
              <w:t>Original Substantial Completion Date:</w:t>
            </w:r>
          </w:p>
        </w:tc>
        <w:tc>
          <w:tcPr>
            <w:tcW w:type="dxa" w:w="4320"/>
          </w:tcPr>
          <w:p>
            <w:r>
              <w:t>[Original date]</w:t>
            </w:r>
          </w:p>
        </w:tc>
      </w:tr>
      <w:tr>
        <w:tc>
          <w:tcPr>
            <w:tcW w:type="dxa" w:w="4320"/>
          </w:tcPr>
          <w:p>
            <w:r>
              <w:t>Adjusted Substantial Completion Date (per COs):</w:t>
            </w:r>
          </w:p>
        </w:tc>
        <w:tc>
          <w:tcPr>
            <w:tcW w:type="dxa" w:w="4320"/>
          </w:tcPr>
          <w:p>
            <w:r>
              <w:t>[Adjusted date]</w:t>
            </w:r>
          </w:p>
        </w:tc>
      </w:tr>
    </w:tbl>
    <w:p>
      <w:r>
        <w:t>The Work or designated portion thereof is hereby certified as substantially complete in accordance with the Contract Documents. The date of substantial completion is the date certified below, on which the Owner agrees to accept the Work, or designated portion thereof, for the purpose of taking possession or utilization for the use intended.</w:t>
      </w:r>
    </w:p>
    <w:p>
      <w:r>
        <w:br/>
      </w:r>
      <w:r>
        <w:rPr>
          <w:b/>
        </w:rPr>
        <w:t>[Substantial Completion Date]</w:t>
      </w:r>
      <w:r>
        <w:br/>
      </w:r>
    </w:p>
    <w:p>
      <w:r>
        <w:br/>
      </w:r>
      <w:r>
        <w:t>[Identify the portion(s) of the Work to which this Certificate applies. Leave blank or "N/A" if Certificate covers entire Project.]</w:t>
      </w:r>
      <w:r>
        <w:br/>
      </w:r>
    </w:p>
    <w:p>
      <w:r>
        <w:t>The date of Substantial Completion certified above triggers the following:</w:t>
      </w:r>
    </w:p>
    <w:p>
      <w:pPr>
        <w:pStyle w:val="ListBullet"/>
      </w:pPr>
      <w:r>
        <w:rPr>
          <w:b/>
        </w:rPr>
        <w:t>Warranty period begins.</w:t>
      </w:r>
      <w:r>
        <w:t xml:space="preserve"> The one-year general workmanship warranty (or such longer period as the Contract specifies) begins on the date of substantial completion.</w:t>
      </w:r>
    </w:p>
    <w:p>
      <w:pPr>
        <w:pStyle w:val="ListBullet"/>
      </w:pPr>
      <w:r>
        <w:rPr>
          <w:b/>
        </w:rPr>
        <w:t>Owner takes possession (or designated portion thereof).</w:t>
      </w:r>
      <w:r>
        <w:t xml:space="preserve"> Risk of loss for the Work shifts to Owner; insurance responsibility shifts to Owner per the Contract.</w:t>
      </w:r>
    </w:p>
    <w:p>
      <w:pPr>
        <w:pStyle w:val="ListBullet"/>
      </w:pPr>
      <w:r>
        <w:rPr>
          <w:b/>
        </w:rPr>
        <w:t>Retainage reduces.</w:t>
      </w:r>
      <w:r>
        <w:t xml:space="preserve"> Retainage withheld is reduced to </w:t>
      </w:r>
      <w:r>
        <w:t>[2x the dollar value of remaining punch list]</w:t>
      </w:r>
      <w:r>
        <w:t xml:space="preserve"> pending punch list completion (or such other amount as the Contract specifies).</w:t>
      </w:r>
    </w:p>
    <w:p>
      <w:pPr>
        <w:pStyle w:val="ListBullet"/>
      </w:pPr>
      <w:r>
        <w:rPr>
          <w:b/>
        </w:rPr>
        <w:t>Punch list deadline begins.</w:t>
      </w:r>
      <w:r>
        <w:t xml:space="preserve"> Contractor shall complete all items on the attached Punch List within </w:t>
      </w:r>
      <w:r>
        <w:t>[thirty (30) days]</w:t>
      </w:r>
      <w:r>
        <w:t xml:space="preserve"> from this date (or such other deadline as the Contract specifies).</w:t>
      </w:r>
    </w:p>
    <w:p>
      <w:pPr>
        <w:pStyle w:val="ListBullet"/>
      </w:pPr>
      <w:r>
        <w:rPr>
          <w:b/>
        </w:rPr>
        <w:t>Liquidated damages stop accruing.</w:t>
      </w:r>
      <w:r>
        <w:t xml:space="preserve"> Any contractual liquidated damages for delay stop accruing on the date of substantial completion.</w:t>
      </w:r>
    </w:p>
    <w:p>
      <w:pPr>
        <w:pStyle w:val="ListBullet"/>
      </w:pPr>
      <w:r>
        <w:rPr>
          <w:b/>
        </w:rPr>
        <w:t>Owner-furnished services begin.</w:t>
      </w:r>
      <w:r>
        <w:t xml:space="preserve"> Owner's responsibility for utilities, security, custodial services, and other operations begin on the date of substantial completion (per Contract).</w:t>
      </w:r>
    </w:p>
    <w:p>
      <w:pPr>
        <w:pStyle w:val="ListBullet"/>
      </w:pPr>
      <w:r>
        <w:rPr>
          <w:b/>
        </w:rPr>
        <w:t>Statutory limitations periods begin.</w:t>
      </w:r>
      <w:r>
        <w:t xml:space="preserve"> Statute of repose for construction defects in the project state begins on the date of substantial completion (typical: 4–10 years depending on state).</w:t>
      </w:r>
    </w:p>
    <w:p>
      <w:r>
        <w:t>The Punch List of items remaining to be completed or corrected is attached hereto and made part of this Certificate. The estimated value of the Punch List items is $</w:t>
      </w:r>
      <w:r>
        <w:t>[Estimate]</w:t>
      </w:r>
      <w:r>
        <w:t>.</w:t>
      </w:r>
    </w:p>
    <w:p>
      <w:r>
        <w:t>The undersigned Architect certifies that, based on inspection of the Work and the data submitted by the Contractor, the Work or designated portion thereof is substantially complete in accordance with the Contract Documents.</w:t>
      </w:r>
    </w:p>
    <w:p>
      <w:r>
        <w:t>The Contractor acknowledges receipt of this Certificate and the attached Punch List, and agrees to complete the Punch List items within the period specified.</w:t>
      </w:r>
    </w:p>
    <w:p>
      <w:r>
        <w:t>The Owner acknowledges substantial completion of the Work or designated portion thereof and accepts possession.</w:t>
      </w:r>
    </w:p>
    <w:p>
      <w:r>
        <w:t>The Punch List itemizes all incomplete or non-conforming work identified at the substantial completion walk. Each item identifies the location, the deficiency, the responsible trade, and the action required. The Punch List is attached to the Certificate of Substantial Completion and tracked through completion.</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Item #</w:t>
            </w:r>
          </w:p>
        </w:tc>
        <w:tc>
          <w:tcPr>
            <w:tcW w:type="dxa" w:w="960"/>
          </w:tcPr>
          <w:p>
            <w:r>
              <w:t>Location</w:t>
            </w:r>
          </w:p>
        </w:tc>
        <w:tc>
          <w:tcPr>
            <w:tcW w:type="dxa" w:w="960"/>
          </w:tcPr>
          <w:p>
            <w:r>
              <w:t>Trade / Sub</w:t>
            </w:r>
          </w:p>
        </w:tc>
        <w:tc>
          <w:tcPr>
            <w:tcW w:type="dxa" w:w="960"/>
          </w:tcPr>
          <w:p>
            <w:r>
              <w:t>Deficiency / Action Required</w:t>
            </w:r>
          </w:p>
        </w:tc>
        <w:tc>
          <w:tcPr>
            <w:tcW w:type="dxa" w:w="960"/>
          </w:tcPr>
          <w:p>
            <w:r>
              <w:t>Date Identified</w:t>
            </w:r>
          </w:p>
        </w:tc>
        <w:tc>
          <w:tcPr>
            <w:tcW w:type="dxa" w:w="960"/>
          </w:tcPr>
          <w:p>
            <w:r>
              <w:t>Target Completion</w:t>
            </w:r>
          </w:p>
        </w:tc>
        <w:tc>
          <w:tcPr>
            <w:tcW w:type="dxa" w:w="960"/>
          </w:tcPr>
          <w:p>
            <w:r>
              <w:t>Date Completed</w:t>
            </w:r>
          </w:p>
        </w:tc>
        <w:tc>
          <w:tcPr>
            <w:tcW w:type="dxa" w:w="960"/>
          </w:tcPr>
          <w:p>
            <w:r>
              <w:t>Status</w:t>
            </w:r>
          </w:p>
        </w:tc>
        <w:tc>
          <w:tcPr>
            <w:tcW w:type="dxa" w:w="960"/>
          </w:tcPr>
          <w:p>
            <w:r>
              <w:t>Re-Inspect Date</w:t>
            </w:r>
          </w:p>
        </w:tc>
      </w:tr>
      <w:tr>
        <w:tc>
          <w:tcPr>
            <w:tcW w:type="dxa" w:w="960"/>
          </w:tcPr>
          <w:p>
            <w:r>
              <w:t>— SAMPLE ENTRIES (typical commercial punch list items) —</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t>001</w:t>
            </w:r>
          </w:p>
        </w:tc>
        <w:tc>
          <w:tcPr>
            <w:tcW w:type="dxa" w:w="960"/>
          </w:tcPr>
          <w:p>
            <w:r>
              <w:t>Lobby — east wall</w:t>
            </w:r>
          </w:p>
        </w:tc>
        <w:tc>
          <w:tcPr>
            <w:tcW w:type="dxa" w:w="960"/>
          </w:tcPr>
          <w:p>
            <w:r>
              <w:t>Painter (Div 09)</w:t>
            </w:r>
          </w:p>
        </w:tc>
        <w:tc>
          <w:tcPr>
            <w:tcW w:type="dxa" w:w="960"/>
          </w:tcPr>
          <w:p>
            <w:r>
              <w:t>Paint touch-up around switch plates; light scuffs at chair-rail height</w:t>
            </w:r>
          </w:p>
        </w:tc>
        <w:tc>
          <w:tcPr>
            <w:tcW w:type="dxa" w:w="960"/>
          </w:tcPr>
          <w:p>
            <w:r>
              <w:t>2026-05-15</w:t>
            </w:r>
          </w:p>
        </w:tc>
        <w:tc>
          <w:tcPr>
            <w:tcW w:type="dxa" w:w="960"/>
          </w:tcPr>
          <w:p>
            <w:r>
              <w:t>2026-05-22</w:t>
            </w:r>
          </w:p>
        </w:tc>
        <w:tc>
          <w:tcPr>
            <w:tcW w:type="dxa" w:w="960"/>
          </w:tcPr>
          <w:p>
            <w:r>
              <w:t>2026-05-20</w:t>
            </w:r>
          </w:p>
        </w:tc>
        <w:tc>
          <w:tcPr>
            <w:tcW w:type="dxa" w:w="960"/>
          </w:tcPr>
          <w:p>
            <w:r>
              <w:t>Closed</w:t>
            </w:r>
          </w:p>
        </w:tc>
        <w:tc>
          <w:tcPr>
            <w:tcW w:type="dxa" w:w="960"/>
          </w:tcPr>
          <w:p>
            <w:r>
              <w:t>2026-05-21</w:t>
            </w:r>
          </w:p>
        </w:tc>
      </w:tr>
      <w:tr>
        <w:tc>
          <w:tcPr>
            <w:tcW w:type="dxa" w:w="960"/>
          </w:tcPr>
          <w:p>
            <w:r>
              <w:t>002</w:t>
            </w:r>
          </w:p>
        </w:tc>
        <w:tc>
          <w:tcPr>
            <w:tcW w:type="dxa" w:w="960"/>
          </w:tcPr>
          <w:p>
            <w:r>
              <w:t>Conf Rm 201 — door</w:t>
            </w:r>
          </w:p>
        </w:tc>
        <w:tc>
          <w:tcPr>
            <w:tcW w:type="dxa" w:w="960"/>
          </w:tcPr>
          <w:p>
            <w:r>
              <w:t>Door &amp; Hardware (Div 08)</w:t>
            </w:r>
          </w:p>
        </w:tc>
        <w:tc>
          <w:tcPr>
            <w:tcW w:type="dxa" w:w="960"/>
          </w:tcPr>
          <w:p>
            <w:r>
              <w:t>Door binds against frame at top; needs adjustment</w:t>
            </w:r>
          </w:p>
        </w:tc>
        <w:tc>
          <w:tcPr>
            <w:tcW w:type="dxa" w:w="960"/>
          </w:tcPr>
          <w:p>
            <w:r>
              <w:t>2026-05-15</w:t>
            </w:r>
          </w:p>
        </w:tc>
        <w:tc>
          <w:tcPr>
            <w:tcW w:type="dxa" w:w="960"/>
          </w:tcPr>
          <w:p>
            <w:r>
              <w:t>2026-05-22</w:t>
            </w:r>
          </w:p>
        </w:tc>
        <w:tc>
          <w:tcPr>
            <w:tcW w:type="dxa" w:w="960"/>
          </w:tcPr>
          <w:p>
            <w:r>
              <w:t>—</w:t>
            </w:r>
          </w:p>
        </w:tc>
        <w:tc>
          <w:tcPr>
            <w:tcW w:type="dxa" w:w="960"/>
          </w:tcPr>
          <w:p>
            <w:r>
              <w:t>Open</w:t>
            </w:r>
          </w:p>
        </w:tc>
        <w:tc>
          <w:tcPr>
            <w:tcW w:type="dxa" w:w="960"/>
          </w:tcPr>
          <w:p>
            <w:r>
              <w:t>—</w:t>
            </w:r>
          </w:p>
        </w:tc>
      </w:tr>
      <w:tr>
        <w:tc>
          <w:tcPr>
            <w:tcW w:type="dxa" w:w="960"/>
          </w:tcPr>
          <w:p>
            <w:r>
              <w:t>003</w:t>
            </w:r>
          </w:p>
        </w:tc>
        <w:tc>
          <w:tcPr>
            <w:tcW w:type="dxa" w:w="960"/>
          </w:tcPr>
          <w:p>
            <w:r>
              <w:t>Mechanical Rm 105 — VFD</w:t>
            </w:r>
          </w:p>
        </w:tc>
        <w:tc>
          <w:tcPr>
            <w:tcW w:type="dxa" w:w="960"/>
          </w:tcPr>
          <w:p>
            <w:r>
              <w:t>Mech (Div 23)</w:t>
            </w:r>
          </w:p>
        </w:tc>
        <w:tc>
          <w:tcPr>
            <w:tcW w:type="dxa" w:w="960"/>
          </w:tcPr>
          <w:p>
            <w:r>
              <w:t>Variable frequency drive on AHU-2 not commissioned; commissioning report missing</w:t>
            </w:r>
          </w:p>
        </w:tc>
        <w:tc>
          <w:tcPr>
            <w:tcW w:type="dxa" w:w="960"/>
          </w:tcPr>
          <w:p>
            <w:r>
              <w:t>2026-05-15</w:t>
            </w:r>
          </w:p>
        </w:tc>
        <w:tc>
          <w:tcPr>
            <w:tcW w:type="dxa" w:w="960"/>
          </w:tcPr>
          <w:p>
            <w:r>
              <w:t>2026-06-01</w:t>
            </w:r>
          </w:p>
        </w:tc>
        <w:tc>
          <w:tcPr>
            <w:tcW w:type="dxa" w:w="960"/>
          </w:tcPr>
          <w:p>
            <w:r>
              <w:t>—</w:t>
            </w:r>
          </w:p>
        </w:tc>
        <w:tc>
          <w:tcPr>
            <w:tcW w:type="dxa" w:w="960"/>
          </w:tcPr>
          <w:p>
            <w:r>
              <w:t>Open</w:t>
            </w:r>
          </w:p>
        </w:tc>
        <w:tc>
          <w:tcPr>
            <w:tcW w:type="dxa" w:w="960"/>
          </w:tcPr>
          <w:p>
            <w:r>
              <w:t>—</w:t>
            </w:r>
          </w:p>
        </w:tc>
      </w:tr>
      <w:tr>
        <w:tc>
          <w:tcPr>
            <w:tcW w:type="dxa" w:w="960"/>
          </w:tcPr>
          <w:p>
            <w:r>
              <w:t>004</w:t>
            </w:r>
          </w:p>
        </w:tc>
        <w:tc>
          <w:tcPr>
            <w:tcW w:type="dxa" w:w="960"/>
          </w:tcPr>
          <w:p>
            <w:r>
              <w:t>Restroom 1A — sink</w:t>
            </w:r>
          </w:p>
        </w:tc>
        <w:tc>
          <w:tcPr>
            <w:tcW w:type="dxa" w:w="960"/>
          </w:tcPr>
          <w:p>
            <w:r>
              <w:t>Plumbing (Div 22)</w:t>
            </w:r>
          </w:p>
        </w:tc>
        <w:tc>
          <w:tcPr>
            <w:tcW w:type="dxa" w:w="960"/>
          </w:tcPr>
          <w:p>
            <w:r>
              <w:t>Faucet drips; replace cartridge</w:t>
            </w:r>
          </w:p>
        </w:tc>
        <w:tc>
          <w:tcPr>
            <w:tcW w:type="dxa" w:w="960"/>
          </w:tcPr>
          <w:p>
            <w:r>
              <w:t>2026-05-15</w:t>
            </w:r>
          </w:p>
        </w:tc>
        <w:tc>
          <w:tcPr>
            <w:tcW w:type="dxa" w:w="960"/>
          </w:tcPr>
          <w:p>
            <w:r>
              <w:t>2026-05-22</w:t>
            </w:r>
          </w:p>
        </w:tc>
        <w:tc>
          <w:tcPr>
            <w:tcW w:type="dxa" w:w="960"/>
          </w:tcPr>
          <w:p>
            <w:r>
              <w:t>2026-05-19</w:t>
            </w:r>
          </w:p>
        </w:tc>
        <w:tc>
          <w:tcPr>
            <w:tcW w:type="dxa" w:w="960"/>
          </w:tcPr>
          <w:p>
            <w:r>
              <w:t>Closed</w:t>
            </w:r>
          </w:p>
        </w:tc>
        <w:tc>
          <w:tcPr>
            <w:tcW w:type="dxa" w:w="960"/>
          </w:tcPr>
          <w:p>
            <w:r>
              <w:t>2026-05-21</w:t>
            </w:r>
          </w:p>
        </w:tc>
      </w:tr>
      <w:tr>
        <w:tc>
          <w:tcPr>
            <w:tcW w:type="dxa" w:w="960"/>
          </w:tcPr>
          <w:p>
            <w:r>
              <w:t>005</w:t>
            </w:r>
          </w:p>
        </w:tc>
        <w:tc>
          <w:tcPr>
            <w:tcW w:type="dxa" w:w="960"/>
          </w:tcPr>
          <w:p>
            <w:r>
              <w:t>Server Room 312</w:t>
            </w:r>
          </w:p>
        </w:tc>
        <w:tc>
          <w:tcPr>
            <w:tcW w:type="dxa" w:w="960"/>
          </w:tcPr>
          <w:p>
            <w:r>
              <w:t>Electrical (Div 26)</w:t>
            </w:r>
          </w:p>
        </w:tc>
        <w:tc>
          <w:tcPr>
            <w:tcW w:type="dxa" w:w="960"/>
          </w:tcPr>
          <w:p>
            <w:r>
              <w:t>Two unused conduit stubs not capped; capping required for fire-rating compliance</w:t>
            </w:r>
          </w:p>
        </w:tc>
        <w:tc>
          <w:tcPr>
            <w:tcW w:type="dxa" w:w="960"/>
          </w:tcPr>
          <w:p>
            <w:r>
              <w:t>2026-05-15</w:t>
            </w:r>
          </w:p>
        </w:tc>
        <w:tc>
          <w:tcPr>
            <w:tcW w:type="dxa" w:w="960"/>
          </w:tcPr>
          <w:p>
            <w:r>
              <w:t>2026-05-22</w:t>
            </w:r>
          </w:p>
        </w:tc>
        <w:tc>
          <w:tcPr>
            <w:tcW w:type="dxa" w:w="960"/>
          </w:tcPr>
          <w:p>
            <w:r>
              <w:t>—</w:t>
            </w:r>
          </w:p>
        </w:tc>
        <w:tc>
          <w:tcPr>
            <w:tcW w:type="dxa" w:w="960"/>
          </w:tcPr>
          <w:p>
            <w:r>
              <w:t>Open</w:t>
            </w:r>
          </w:p>
        </w:tc>
        <w:tc>
          <w:tcPr>
            <w:tcW w:type="dxa" w:w="960"/>
          </w:tcPr>
          <w:p>
            <w:r>
              <w:t>—</w:t>
            </w:r>
          </w:p>
        </w:tc>
      </w:tr>
      <w:tr>
        <w:tc>
          <w:tcPr>
            <w:tcW w:type="dxa" w:w="960"/>
          </w:tcPr>
          <w:p>
            <w:r>
              <w:t>006</w:t>
            </w:r>
          </w:p>
        </w:tc>
        <w:tc>
          <w:tcPr>
            <w:tcW w:type="dxa" w:w="960"/>
          </w:tcPr>
          <w:p>
            <w:r>
              <w:t>Exterior — main entrance</w:t>
            </w:r>
          </w:p>
        </w:tc>
        <w:tc>
          <w:tcPr>
            <w:tcW w:type="dxa" w:w="960"/>
          </w:tcPr>
          <w:p>
            <w:r>
              <w:t>Sealants (Div 07)</w:t>
            </w:r>
          </w:p>
        </w:tc>
        <w:tc>
          <w:tcPr>
            <w:tcW w:type="dxa" w:w="960"/>
          </w:tcPr>
          <w:p>
            <w:r>
              <w:t>Backer rod visible at storefront sill joint; recaulk full perimeter</w:t>
            </w:r>
          </w:p>
        </w:tc>
        <w:tc>
          <w:tcPr>
            <w:tcW w:type="dxa" w:w="960"/>
          </w:tcPr>
          <w:p>
            <w:r>
              <w:t>2026-05-15</w:t>
            </w:r>
          </w:p>
        </w:tc>
        <w:tc>
          <w:tcPr>
            <w:tcW w:type="dxa" w:w="960"/>
          </w:tcPr>
          <w:p>
            <w:r>
              <w:t>2026-05-22</w:t>
            </w:r>
          </w:p>
        </w:tc>
        <w:tc>
          <w:tcPr>
            <w:tcW w:type="dxa" w:w="960"/>
          </w:tcPr>
          <w:p>
            <w:r>
              <w:t>—</w:t>
            </w:r>
          </w:p>
        </w:tc>
        <w:tc>
          <w:tcPr>
            <w:tcW w:type="dxa" w:w="960"/>
          </w:tcPr>
          <w:p>
            <w:r>
              <w:t>Open</w:t>
            </w:r>
          </w:p>
        </w:tc>
        <w:tc>
          <w:tcPr>
            <w:tcW w:type="dxa" w:w="960"/>
          </w:tcPr>
          <w:p>
            <w:r>
              <w:t>—</w:t>
            </w:r>
          </w:p>
        </w:tc>
      </w:tr>
      <w:tr>
        <w:tc>
          <w:tcPr>
            <w:tcW w:type="dxa" w:w="960"/>
          </w:tcPr>
          <w:p>
            <w:r>
              <w:t>[#]</w:t>
            </w:r>
          </w:p>
        </w:tc>
        <w:tc>
          <w:tcPr>
            <w:tcW w:type="dxa" w:w="960"/>
          </w:tcPr>
          <w:p>
            <w:r>
              <w:t>[Loc]</w:t>
            </w:r>
          </w:p>
        </w:tc>
        <w:tc>
          <w:tcPr>
            <w:tcW w:type="dxa" w:w="960"/>
          </w:tcPr>
          <w:p>
            <w:r>
              <w:t>[Sub]</w:t>
            </w:r>
          </w:p>
        </w:tc>
        <w:tc>
          <w:tcPr>
            <w:tcW w:type="dxa" w:w="960"/>
          </w:tcPr>
          <w:p>
            <w:r>
              <w:t>[Description + action]</w:t>
            </w:r>
          </w:p>
        </w:tc>
        <w:tc>
          <w:tcPr>
            <w:tcW w:type="dxa" w:w="960"/>
          </w:tcPr>
          <w:p>
            <w:r>
              <w:t>[Date]</w:t>
            </w:r>
          </w:p>
        </w:tc>
        <w:tc>
          <w:tcPr>
            <w:tcW w:type="dxa" w:w="960"/>
          </w:tcPr>
          <w:p>
            <w:r>
              <w:t>[Target]</w:t>
            </w:r>
          </w:p>
        </w:tc>
        <w:tc>
          <w:tcPr>
            <w:tcW w:type="dxa" w:w="960"/>
          </w:tcPr>
          <w:p>
            <w:r>
              <w:t>[Done]</w:t>
            </w:r>
          </w:p>
        </w:tc>
        <w:tc>
          <w:tcPr>
            <w:tcW w:type="dxa" w:w="960"/>
          </w:tcPr>
          <w:p>
            <w:r>
              <w:t>[Status]</w:t>
            </w:r>
          </w:p>
        </w:tc>
        <w:tc>
          <w:tcPr>
            <w:tcW w:type="dxa" w:w="960"/>
          </w:tcPr>
          <w:p>
            <w:r>
              <w:t>[Re-insp]</w:t>
            </w:r>
          </w:p>
        </w:tc>
      </w:tr>
    </w:tbl>
    <w:p>
      <w:r>
        <w:br/>
      </w:r>
      <w:r>
        <w:rPr>
          <w:b/>
        </w:rPr>
        <w:t>Status codes:</w:t>
      </w:r>
      <w:r>
        <w:t xml:space="preserve"> Open (work not yet done) · In Progress (sub on site working) · Awaiting Re-Inspect (sub claims complete; architect to verify) · Closed (verified complete by architect) · Disputed (sub claims out of scope; needs resolution).</w:t>
      </w:r>
      <w:r>
        <w:br/>
      </w:r>
      <w:r>
        <w:br/>
      </w:r>
      <w:r>
        <w:rPr>
          <w:b/>
        </w:rPr>
        <w:t>Source:</w:t>
      </w:r>
      <w:r>
        <w:t xml:space="preserve"> column not shown but recommended for tracking who identified the item — Architect / Owner / GC / Sub self-identified.</w:t>
        <w:br/>
        <w:t xml:space="preserve">            </w:t>
      </w:r>
    </w:p>
    <w:p>
      <w:r>
        <w:t>The closeout document package is required by the Contract for final acceptance and final retainage release. Begin assembling at 80% project completion; deliver complete at substantial completion (latest). Any missing item delays final retainage release.</w:t>
      </w:r>
    </w:p>
    <w:p>
      <w:pPr>
        <w:pStyle w:val="Heading4"/>
      </w:pPr>
      <w:r>
        <w:t>A. Warranties &amp; Guarantees</w:t>
      </w:r>
    </w:p>
    <w:p>
      <w:pPr>
        <w:pStyle w:val="ListBullet"/>
      </w:pPr>
      <w:r>
        <w:t>☐ General workmanship warranty letter from Contractor (typical 1-year)</w:t>
      </w:r>
    </w:p>
    <w:p>
      <w:pPr>
        <w:pStyle w:val="ListBullet"/>
      </w:pPr>
      <w:r>
        <w:t>☐ Manufacturer warranties for all installed equipment, assigned to Owner (or directly issued to Owner where the manufacturer requires)</w:t>
      </w:r>
    </w:p>
    <w:p>
      <w:pPr>
        <w:pStyle w:val="ListBullet"/>
      </w:pPr>
      <w:r>
        <w:t>☐ Roofing manufacturer's extended warranty (typical 10–30 years for membrane systems)</w:t>
      </w:r>
    </w:p>
    <w:p>
      <w:pPr>
        <w:pStyle w:val="ListBullet"/>
      </w:pPr>
      <w:r>
        <w:t>☐ Window / curtain wall warranty (manufacturer + installer)</w:t>
      </w:r>
    </w:p>
    <w:p>
      <w:pPr>
        <w:pStyle w:val="ListBullet"/>
      </w:pPr>
      <w:r>
        <w:t>☐ HVAC equipment warranties (compressors typically 5-year, parts 1-year, labor 1-year)</w:t>
      </w:r>
    </w:p>
    <w:p>
      <w:pPr>
        <w:pStyle w:val="ListBullet"/>
      </w:pPr>
      <w:r>
        <w:t>☐ Plumbing fixture warranties (manufacturer)</w:t>
      </w:r>
    </w:p>
    <w:p>
      <w:pPr>
        <w:pStyle w:val="ListBullet"/>
      </w:pPr>
      <w:r>
        <w:t>☐ Specialty equipment warranties (kitchen equipment, lab equipment, AV equipment, etc.)</w:t>
      </w:r>
    </w:p>
    <w:p>
      <w:pPr>
        <w:pStyle w:val="ListBullet"/>
      </w:pPr>
      <w:r>
        <w:t>☐ Subcontractor warranty letters for trade-specific extended warranties</w:t>
      </w:r>
    </w:p>
    <w:p>
      <w:pPr>
        <w:pStyle w:val="Heading4"/>
      </w:pPr>
      <w:r>
        <w:t>B. Operations &amp; Maintenance (O&amp;M) Manuals</w:t>
      </w:r>
    </w:p>
    <w:p>
      <w:pPr>
        <w:pStyle w:val="ListBullet"/>
      </w:pPr>
      <w:r>
        <w:t>☐ HVAC O&amp;M manual — equipment data sheets, filter replacement schedule, maintenance procedures, parts list, troubleshooting guide</w:t>
      </w:r>
    </w:p>
    <w:p>
      <w:pPr>
        <w:pStyle w:val="ListBullet"/>
      </w:pPr>
      <w:r>
        <w:t>☐ Plumbing O&amp;M manual — fixture data, valve diagrams, water quality reports</w:t>
      </w:r>
    </w:p>
    <w:p>
      <w:pPr>
        <w:pStyle w:val="ListBullet"/>
      </w:pPr>
      <w:r>
        <w:t>☐ Electrical O&amp;M manual — panel schedules, breaker labels, lighting controls, generator data</w:t>
      </w:r>
    </w:p>
    <w:p>
      <w:pPr>
        <w:pStyle w:val="ListBullet"/>
      </w:pPr>
      <w:r>
        <w:t>☐ Fire/Life Safety O&amp;M manual — fire alarm system, sprinkler system, emergency lighting, exit signs</w:t>
      </w:r>
    </w:p>
    <w:p>
      <w:pPr>
        <w:pStyle w:val="ListBullet"/>
      </w:pPr>
      <w:r>
        <w:t>☐ Building automation system (BAS) O&amp;M manual — system architecture, sequence of operations, alarm response</w:t>
      </w:r>
    </w:p>
    <w:p>
      <w:pPr>
        <w:pStyle w:val="ListBullet"/>
      </w:pPr>
      <w:r>
        <w:t>☐ Roof O&amp;M manual — roofing system data, maintenance schedule, snow removal procedures, manufacturer warranty conditions</w:t>
      </w:r>
    </w:p>
    <w:p>
      <w:pPr>
        <w:pStyle w:val="ListBullet"/>
      </w:pPr>
      <w:r>
        <w:t>☐ Landscape O&amp;M manual — plant lists, irrigation schedule, maintenance procedures</w:t>
      </w:r>
    </w:p>
    <w:p>
      <w:pPr>
        <w:pStyle w:val="ListBullet"/>
      </w:pPr>
      <w:r>
        <w:t>☐ Specialty system manuals (security, AV, kitchen, etc.)</w:t>
      </w:r>
    </w:p>
    <w:p>
      <w:pPr>
        <w:pStyle w:val="ListBullet"/>
      </w:pPr>
      <w:r>
        <w:t>☐ Master O&amp;M index with table of contents</w:t>
      </w:r>
    </w:p>
    <w:p>
      <w:pPr>
        <w:pStyle w:val="Heading4"/>
      </w:pPr>
      <w:r>
        <w:t>C. As-Built Drawings + Record Documents</w:t>
      </w:r>
    </w:p>
    <w:p>
      <w:pPr>
        <w:pStyle w:val="ListBullet"/>
      </w:pPr>
      <w:r>
        <w:t>☐ Architectural as-built drawings — red-line markups reconciled into clean CAD/BIM drawings</w:t>
      </w:r>
    </w:p>
    <w:p>
      <w:pPr>
        <w:pStyle w:val="ListBullet"/>
      </w:pPr>
      <w:r>
        <w:t>☐ Structural as-built drawings</w:t>
      </w:r>
    </w:p>
    <w:p>
      <w:pPr>
        <w:pStyle w:val="ListBullet"/>
      </w:pPr>
      <w:r>
        <w:t>☐ MEP as-built drawings (mechanical / electrical / plumbing) — locations of concealed work</w:t>
      </w:r>
    </w:p>
    <w:p>
      <w:pPr>
        <w:pStyle w:val="ListBullet"/>
      </w:pPr>
      <w:r>
        <w:t>☐ Civil / site as-built drawings — utility tie-ins, paving, grading</w:t>
      </w:r>
    </w:p>
    <w:p>
      <w:pPr>
        <w:pStyle w:val="ListBullet"/>
      </w:pPr>
      <w:r>
        <w:t>☐ Fire protection as-built drawings — sprinkler heads, fire alarm devices</w:t>
      </w:r>
    </w:p>
    <w:p>
      <w:pPr>
        <w:pStyle w:val="ListBullet"/>
      </w:pPr>
      <w:r>
        <w:t>☐ Low-voltage as-built drawings — data, security, AV runs</w:t>
      </w:r>
    </w:p>
    <w:p>
      <w:pPr>
        <w:pStyle w:val="ListBullet"/>
      </w:pPr>
      <w:r>
        <w:t>☐ Submittal package (final approved set, organized by spec section)</w:t>
      </w:r>
    </w:p>
    <w:p>
      <w:pPr>
        <w:pStyle w:val="ListBullet"/>
      </w:pPr>
      <w:r>
        <w:t>☐ RFI log (final, all closed)</w:t>
      </w:r>
    </w:p>
    <w:p>
      <w:pPr>
        <w:pStyle w:val="ListBullet"/>
      </w:pPr>
      <w:r>
        <w:t>☐ Change order log (final)</w:t>
      </w:r>
    </w:p>
    <w:p>
      <w:pPr>
        <w:pStyle w:val="ListBullet"/>
      </w:pPr>
      <w:r>
        <w:t>☐ Project schedule (as-built schedule showing actual vs. baseline)</w:t>
      </w:r>
    </w:p>
    <w:p>
      <w:pPr>
        <w:pStyle w:val="ListBullet"/>
      </w:pPr>
      <w:r>
        <w:t>☐ Daily reports (consolidated)</w:t>
      </w:r>
    </w:p>
    <w:p>
      <w:pPr>
        <w:pStyle w:val="Heading4"/>
      </w:pPr>
      <w:r>
        <w:t>D. Certificates &amp; Approvals</w:t>
      </w:r>
    </w:p>
    <w:p>
      <w:pPr>
        <w:pStyle w:val="ListBullet"/>
      </w:pPr>
      <w:r>
        <w:t>☐ Certificate of Occupancy (CO) from local building authority — typically conditioned on punch list complete</w:t>
      </w:r>
    </w:p>
    <w:p>
      <w:pPr>
        <w:pStyle w:val="ListBullet"/>
      </w:pPr>
      <w:r>
        <w:t>☐ Fire Marshal final acceptance</w:t>
      </w:r>
    </w:p>
    <w:p>
      <w:pPr>
        <w:pStyle w:val="ListBullet"/>
      </w:pPr>
      <w:r>
        <w:t>☐ Health Department final acceptance (if applicable)</w:t>
      </w:r>
    </w:p>
    <w:p>
      <w:pPr>
        <w:pStyle w:val="ListBullet"/>
      </w:pPr>
      <w:r>
        <w:t>☐ Elevator inspection certificate(s)</w:t>
      </w:r>
    </w:p>
    <w:p>
      <w:pPr>
        <w:pStyle w:val="ListBullet"/>
      </w:pPr>
      <w:r>
        <w:t>☐ Pressure vessel certificates (boilers, etc.)</w:t>
      </w:r>
    </w:p>
    <w:p>
      <w:pPr>
        <w:pStyle w:val="ListBullet"/>
      </w:pPr>
      <w:r>
        <w:t>☐ Backflow preventer test reports</w:t>
      </w:r>
    </w:p>
    <w:p>
      <w:pPr>
        <w:pStyle w:val="ListBullet"/>
      </w:pPr>
      <w:r>
        <w:t>☐ Fire alarm acceptance test report (NFPA 72)</w:t>
      </w:r>
    </w:p>
    <w:p>
      <w:pPr>
        <w:pStyle w:val="ListBullet"/>
      </w:pPr>
      <w:r>
        <w:t>☐ Sprinkler system flush + acceptance test report (NFPA 13)</w:t>
      </w:r>
    </w:p>
    <w:p>
      <w:pPr>
        <w:pStyle w:val="ListBullet"/>
      </w:pPr>
      <w:r>
        <w:t>☐ HVAC test, adjust, balance (TAB) report</w:t>
      </w:r>
    </w:p>
    <w:p>
      <w:pPr>
        <w:pStyle w:val="ListBullet"/>
      </w:pPr>
      <w:r>
        <w:t>☐ Building commissioning report (LEED projects + many institutional)</w:t>
      </w:r>
    </w:p>
    <w:p>
      <w:pPr>
        <w:pStyle w:val="ListBullet"/>
      </w:pPr>
      <w:r>
        <w:t>☐ Energy compliance certificate (if required by jurisdiction)</w:t>
      </w:r>
    </w:p>
    <w:p>
      <w:pPr>
        <w:pStyle w:val="ListBullet"/>
      </w:pPr>
      <w:r>
        <w:t>☐ Waterproofing inspection report</w:t>
      </w:r>
    </w:p>
    <w:p>
      <w:pPr>
        <w:pStyle w:val="ListBullet"/>
      </w:pPr>
      <w:r>
        <w:t>☐ Concrete cylinder break reports (project-end summary)</w:t>
      </w:r>
    </w:p>
    <w:p>
      <w:pPr>
        <w:pStyle w:val="ListBullet"/>
      </w:pPr>
      <w:r>
        <w:t>☐ Soil compaction test reports (project-end summary)</w:t>
      </w:r>
    </w:p>
    <w:p>
      <w:pPr>
        <w:pStyle w:val="ListBullet"/>
      </w:pPr>
      <w:r>
        <w:t>☐ Welding certifications (structural steel, pressure piping)</w:t>
      </w:r>
    </w:p>
    <w:p>
      <w:pPr>
        <w:pStyle w:val="Heading4"/>
      </w:pPr>
      <w:r>
        <w:t>E. Lien Waivers + Final Payment Documents</w:t>
      </w:r>
    </w:p>
    <w:p>
      <w:pPr>
        <w:pStyle w:val="ListBullet"/>
      </w:pPr>
      <w:r>
        <w:t>☐ Unconditional Final Lien Waiver from Contractor</w:t>
      </w:r>
    </w:p>
    <w:p>
      <w:pPr>
        <w:pStyle w:val="ListBullet"/>
      </w:pPr>
      <w:r>
        <w:t>☐ Unconditional Final Lien Waivers from each Subcontractor</w:t>
      </w:r>
    </w:p>
    <w:p>
      <w:pPr>
        <w:pStyle w:val="ListBullet"/>
      </w:pPr>
      <w:r>
        <w:t>☐ Unconditional Final Lien Waivers from each Major Supplier (over contract-specified threshold)</w:t>
      </w:r>
    </w:p>
    <w:p>
      <w:pPr>
        <w:pStyle w:val="ListBullet"/>
      </w:pPr>
      <w:r>
        <w:t>☐ Consent of Surety to Final Payment (if bonded)</w:t>
      </w:r>
    </w:p>
    <w:p>
      <w:pPr>
        <w:pStyle w:val="ListBullet"/>
      </w:pPr>
      <w:r>
        <w:t>☐ Affidavit of Payment of Debts and Claims (Contractor's sworn statement that all subs/suppliers have been paid)</w:t>
      </w:r>
    </w:p>
    <w:p>
      <w:pPr>
        <w:pStyle w:val="ListBullet"/>
      </w:pPr>
      <w:r>
        <w:t>☐ Final Application for Payment (Pay App)</w:t>
      </w:r>
    </w:p>
    <w:p>
      <w:pPr>
        <w:pStyle w:val="ListBullet"/>
      </w:pPr>
      <w:r>
        <w:t>☐ Release of any retention bond (if used in lieu of cash retainage)</w:t>
      </w:r>
    </w:p>
    <w:p>
      <w:pPr>
        <w:pStyle w:val="Heading4"/>
      </w:pPr>
      <w:r>
        <w:t>F. Attic Stock + Owner Training</w:t>
      </w:r>
    </w:p>
    <w:p>
      <w:pPr>
        <w:pStyle w:val="ListBullet"/>
      </w:pPr>
      <w:r>
        <w:t>☐ Attic stock delivered per spec (typical: 5% extra ceiling tile, 5% extra carpet/flooring, paint by color, roofing membrane patches, hardware)</w:t>
      </w:r>
    </w:p>
    <w:p>
      <w:pPr>
        <w:pStyle w:val="ListBullet"/>
      </w:pPr>
      <w:r>
        <w:t>☐ Attic stock receipt signed by Owner</w:t>
      </w:r>
    </w:p>
    <w:p>
      <w:pPr>
        <w:pStyle w:val="ListBullet"/>
      </w:pPr>
      <w:r>
        <w:t>☐ Owner training on HVAC controls (typical 4–8 hours; recorded video preferred)</w:t>
      </w:r>
    </w:p>
    <w:p>
      <w:pPr>
        <w:pStyle w:val="ListBullet"/>
      </w:pPr>
      <w:r>
        <w:t>☐ Owner training on building automation system</w:t>
      </w:r>
    </w:p>
    <w:p>
      <w:pPr>
        <w:pStyle w:val="ListBullet"/>
      </w:pPr>
      <w:r>
        <w:t>☐ Owner training on fire/life safety systems</w:t>
      </w:r>
    </w:p>
    <w:p>
      <w:pPr>
        <w:pStyle w:val="ListBullet"/>
      </w:pPr>
      <w:r>
        <w:t>☐ Owner training on specialty equipment (kitchen, AV, security)</w:t>
      </w:r>
    </w:p>
    <w:p>
      <w:pPr>
        <w:pStyle w:val="ListBullet"/>
      </w:pPr>
      <w:r>
        <w:t>☐ Training attendance log (signed by Owner's facility staff)</w:t>
      </w:r>
    </w:p>
    <w:p>
      <w:pPr>
        <w:pStyle w:val="Heading4"/>
      </w:pPr>
      <w:r>
        <w:t>G. Project Photographs + Final Documentation</w:t>
      </w:r>
    </w:p>
    <w:p>
      <w:pPr>
        <w:pStyle w:val="ListBullet"/>
      </w:pPr>
      <w:r>
        <w:t>☐ Final project photographs (architectural quality, exterior + interior, suitable for marketing)</w:t>
      </w:r>
    </w:p>
    <w:p>
      <w:pPr>
        <w:pStyle w:val="ListBullet"/>
      </w:pPr>
      <w:r>
        <w:t>☐ Aerial / drone photography (if commissioned)</w:t>
      </w:r>
    </w:p>
    <w:p>
      <w:pPr>
        <w:pStyle w:val="ListBullet"/>
      </w:pPr>
      <w:r>
        <w:t>☐ Construction progress photo archive (summary set)</w:t>
      </w:r>
    </w:p>
    <w:p>
      <w:pPr>
        <w:pStyle w:val="ListBullet"/>
      </w:pPr>
      <w:r>
        <w:t>☐ Project closeout binder index</w:t>
      </w:r>
    </w:p>
    <w:tbl>
      <w:tblPr>
        <w:tblStyle w:val="LightGrid-Accent1"/>
        <w:tblW w:type="auto" w:w="0"/>
        <w:tblLook w:firstColumn="1" w:firstRow="1" w:lastColumn="0" w:lastRow="0" w:noHBand="0" w:noVBand="1" w:val="04A0"/>
      </w:tblPr>
      <w:tblGrid>
        <w:gridCol w:w="4320"/>
        <w:gridCol w:w="4320"/>
      </w:tblGrid>
      <w:tr>
        <w:tc>
          <w:tcPr>
            <w:tcW w:type="dxa" w:w="4320"/>
          </w:tcPr>
          <w:p>
            <w:r>
              <w:t>Project:</w:t>
            </w:r>
          </w:p>
        </w:tc>
        <w:tc>
          <w:tcPr>
            <w:tcW w:type="dxa" w:w="4320"/>
          </w:tcPr>
          <w:p>
            <w:r>
              <w:t>[Project name]</w:t>
            </w:r>
          </w:p>
        </w:tc>
      </w:tr>
      <w:tr>
        <w:tc>
          <w:tcPr>
            <w:tcW w:type="dxa" w:w="4320"/>
          </w:tcPr>
          <w:p>
            <w:r>
              <w:t>Owner:</w:t>
            </w:r>
          </w:p>
        </w:tc>
        <w:tc>
          <w:tcPr>
            <w:tcW w:type="dxa" w:w="4320"/>
          </w:tcPr>
          <w:p>
            <w:r>
              <w:t>[Owner name]</w:t>
            </w:r>
          </w:p>
        </w:tc>
      </w:tr>
      <w:tr>
        <w:tc>
          <w:tcPr>
            <w:tcW w:type="dxa" w:w="4320"/>
          </w:tcPr>
          <w:p>
            <w:r>
              <w:t>Contractor:</w:t>
            </w:r>
          </w:p>
        </w:tc>
        <w:tc>
          <w:tcPr>
            <w:tcW w:type="dxa" w:w="4320"/>
          </w:tcPr>
          <w:p>
            <w:r>
              <w:t>[GC name]</w:t>
            </w:r>
          </w:p>
        </w:tc>
      </w:tr>
      <w:tr>
        <w:tc>
          <w:tcPr>
            <w:tcW w:type="dxa" w:w="4320"/>
          </w:tcPr>
          <w:p>
            <w:r>
              <w:t>Architect:</w:t>
            </w:r>
          </w:p>
        </w:tc>
        <w:tc>
          <w:tcPr>
            <w:tcW w:type="dxa" w:w="4320"/>
          </w:tcPr>
          <w:p>
            <w:r>
              <w:t>[Architect firm]</w:t>
            </w:r>
          </w:p>
        </w:tc>
      </w:tr>
      <w:tr>
        <w:tc>
          <w:tcPr>
            <w:tcW w:type="dxa" w:w="4320"/>
          </w:tcPr>
          <w:p>
            <w:r>
              <w:t>Date of Substantial Completion:</w:t>
            </w:r>
          </w:p>
        </w:tc>
        <w:tc>
          <w:tcPr>
            <w:tcW w:type="dxa" w:w="4320"/>
          </w:tcPr>
          <w:p>
            <w:r>
              <w:t>[Date from Cert of SC]</w:t>
            </w:r>
          </w:p>
        </w:tc>
      </w:tr>
      <w:tr>
        <w:tc>
          <w:tcPr>
            <w:tcW w:type="dxa" w:w="4320"/>
          </w:tcPr>
          <w:p>
            <w:r>
              <w:t>Date of Final Completion (this Certificate):</w:t>
            </w:r>
          </w:p>
        </w:tc>
        <w:tc>
          <w:tcPr>
            <w:tcW w:type="dxa" w:w="4320"/>
          </w:tcPr>
          <w:p>
            <w:r>
              <w:t>[Final completion date]</w:t>
            </w:r>
          </w:p>
        </w:tc>
      </w:tr>
      <w:tr>
        <w:tc>
          <w:tcPr>
            <w:tcW w:type="dxa" w:w="4320"/>
          </w:tcPr>
          <w:p>
            <w:r>
              <w:t>Adjusted Contract Sum:</w:t>
            </w:r>
          </w:p>
        </w:tc>
        <w:tc>
          <w:tcPr>
            <w:tcW w:type="dxa" w:w="4320"/>
          </w:tcPr>
          <w:p>
            <w:r>
              <w:t>$[Final contract sum]</w:t>
            </w:r>
          </w:p>
        </w:tc>
      </w:tr>
      <w:tr>
        <w:tc>
          <w:tcPr>
            <w:tcW w:type="dxa" w:w="4320"/>
          </w:tcPr>
          <w:p>
            <w:r>
              <w:t>Total Previously Certified for Payment:</w:t>
            </w:r>
          </w:p>
        </w:tc>
        <w:tc>
          <w:tcPr>
            <w:tcW w:type="dxa" w:w="4320"/>
          </w:tcPr>
          <w:p>
            <w:r>
              <w:t>$[Cumulative paid + retainage held]</w:t>
            </w:r>
          </w:p>
        </w:tc>
      </w:tr>
      <w:tr>
        <w:tc>
          <w:tcPr>
            <w:tcW w:type="dxa" w:w="4320"/>
          </w:tcPr>
          <w:p>
            <w:r>
              <w:t>Retainage Released by This Certificate:</w:t>
            </w:r>
          </w:p>
        </w:tc>
        <w:tc>
          <w:tcPr>
            <w:tcW w:type="dxa" w:w="4320"/>
          </w:tcPr>
          <w:p>
            <w:r>
              <w:t>$[Final retainage]</w:t>
            </w:r>
          </w:p>
        </w:tc>
      </w:tr>
      <w:tr>
        <w:tc>
          <w:tcPr>
            <w:tcW w:type="dxa" w:w="4320"/>
          </w:tcPr>
          <w:p>
            <w:r>
              <w:t>Final Payment Due Contractor:</w:t>
            </w:r>
          </w:p>
        </w:tc>
        <w:tc>
          <w:tcPr>
            <w:tcW w:type="dxa" w:w="4320"/>
          </w:tcPr>
          <w:p>
            <w:r>
              <w:t>$[Final payment]</w:t>
            </w:r>
          </w:p>
        </w:tc>
      </w:tr>
    </w:tbl>
    <w:p>
      <w:r>
        <w:t>The undersigned Architect certifies that the Work has been completed in accordance with the Contract Documents, the Punch List items have been completed and verified, the closeout document package has been delivered and accepted, and the Project is finally complete. Final payment is due Contractor in the amount stated above.</w:t>
      </w:r>
    </w:p>
    <w:p>
      <w:pPr>
        <w:pStyle w:val="ListBullet"/>
      </w:pPr>
      <w:r>
        <w:t>Final retainage released; final payment due per Contract</w:t>
      </w:r>
    </w:p>
    <w:p>
      <w:pPr>
        <w:pStyle w:val="ListBullet"/>
      </w:pPr>
      <w:r>
        <w:t>Statutory limitations period for construction defects begins (or continues from substantial completion, depending on state)</w:t>
      </w:r>
    </w:p>
    <w:p>
      <w:pPr>
        <w:pStyle w:val="ListBullet"/>
      </w:pPr>
      <w:r>
        <w:t>Contractor's general workmanship warranty continues per its term (started on substantial completion)</w:t>
      </w:r>
    </w:p>
    <w:p>
      <w:pPr>
        <w:pStyle w:val="ListBullet"/>
      </w:pPr>
      <w:r>
        <w:t>Manufacturer warranties continue per their respective terms (started on equipment installation or substantial completion, as applicable)</w:t>
      </w:r>
    </w:p>
    <w:p>
      <w:pPr>
        <w:pStyle w:val="ListBullet"/>
      </w:pPr>
      <w:r>
        <w:t>Claims by either party related to the Work are released except as expressly preserved in writing prior to or contemporaneous with this Certificate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Trigger</w:t>
            </w:r>
          </w:p>
        </w:tc>
        <w:tc>
          <w:tcPr>
            <w:tcW w:type="dxa" w:w="2880"/>
          </w:tcPr>
          <w:p>
            <w:r>
              <w:t>Retainage Action</w:t>
            </w:r>
          </w:p>
        </w:tc>
        <w:tc>
          <w:tcPr>
            <w:tcW w:type="dxa" w:w="2880"/>
          </w:tcPr>
          <w:p>
            <w:r>
              <w:t>Amount Released (typical)</w:t>
            </w:r>
          </w:p>
        </w:tc>
      </w:tr>
      <w:tr>
        <w:tc>
          <w:tcPr>
            <w:tcW w:type="dxa" w:w="2880"/>
          </w:tcPr>
          <w:p>
            <w:r>
              <w:t>50% project completion (if step-down structure)</w:t>
            </w:r>
          </w:p>
        </w:tc>
        <w:tc>
          <w:tcPr>
            <w:tcW w:type="dxa" w:w="2880"/>
          </w:tcPr>
          <w:p>
            <w:r>
              <w:t>Reduce withholding rate from 10% to 5% on subsequent billings</w:t>
            </w:r>
          </w:p>
        </w:tc>
        <w:tc>
          <w:tcPr>
            <w:tcW w:type="dxa" w:w="2880"/>
          </w:tcPr>
          <w:p>
            <w:r>
              <w:t>No release of accumulated retainage; just reduces forward withholding</w:t>
            </w:r>
          </w:p>
        </w:tc>
      </w:tr>
      <w:tr>
        <w:tc>
          <w:tcPr>
            <w:tcW w:type="dxa" w:w="2880"/>
          </w:tcPr>
          <w:p>
            <w:r>
              <w:t>Substantial Completion</w:t>
            </w:r>
          </w:p>
        </w:tc>
        <w:tc>
          <w:tcPr>
            <w:tcW w:type="dxa" w:w="2880"/>
          </w:tcPr>
          <w:p>
            <w:r>
              <w:t>Release retainage down to 2x the dollar value of the punch list</w:t>
            </w:r>
          </w:p>
        </w:tc>
        <w:tc>
          <w:tcPr>
            <w:tcW w:type="dxa" w:w="2880"/>
          </w:tcPr>
          <w:p>
            <w:r>
              <w:t>Typically 80–95% of accumulated retainage</w:t>
            </w:r>
          </w:p>
        </w:tc>
      </w:tr>
      <w:tr>
        <w:tc>
          <w:tcPr>
            <w:tcW w:type="dxa" w:w="2880"/>
          </w:tcPr>
          <w:p>
            <w:r>
              <w:t>Punch list completion + closeout document delivery</w:t>
            </w:r>
          </w:p>
        </w:tc>
        <w:tc>
          <w:tcPr>
            <w:tcW w:type="dxa" w:w="2880"/>
          </w:tcPr>
          <w:p>
            <w:r>
              <w:t>Release additional retainage; final balance held until Final Completion</w:t>
            </w:r>
          </w:p>
        </w:tc>
        <w:tc>
          <w:tcPr>
            <w:tcW w:type="dxa" w:w="2880"/>
          </w:tcPr>
          <w:p>
            <w:r>
              <w:t>Usually combined with Final Completion release</w:t>
            </w:r>
          </w:p>
        </w:tc>
      </w:tr>
      <w:tr>
        <w:tc>
          <w:tcPr>
            <w:tcW w:type="dxa" w:w="2880"/>
          </w:tcPr>
          <w:p>
            <w:r>
              <w:t>Certificate of Final Completion + final lien waivers + Consent of Surety</w:t>
            </w:r>
          </w:p>
        </w:tc>
        <w:tc>
          <w:tcPr>
            <w:tcW w:type="dxa" w:w="2880"/>
          </w:tcPr>
          <w:p>
            <w:r>
              <w:t>Release final retainage; final payment due per Contract</w:t>
            </w:r>
          </w:p>
        </w:tc>
        <w:tc>
          <w:tcPr>
            <w:tcW w:type="dxa" w:w="2880"/>
          </w:tcPr>
          <w:p>
            <w:r>
              <w:t>Remaining retainage balance</w:t>
            </w:r>
          </w:p>
        </w:tc>
      </w:tr>
    </w:tbl>
    <w:p>
      <w:r>
        <w:t>Document version: 2026-05-15 (v1.0). Industry-standard commercial closeout instruments; structural framework parallels widely-adopted commercial practice (AIA G704/G706/G706A/G707 conventions) without reproducing AIA copyrighted forms verbatim. Maintained as part of the ContrPro Complete tier — General Contractor suite.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