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The choice of delivery method (Lump Sum vs. Cost-Plus vs. GMP) drives the entire risk allocation, financial transparency, and administrative burden of the project — often more than the specific contract terms within a method. This package contains: (1) a delivery method selection guide comparing Lump Sum, Cost-Plus (no GMP), and Cost-Plus with GMP; (2) cross-references to the other Owner-Contractor Agreements in the ContrPro Complete tier; and (3) a complete Cost-Plus (no GMP) Owner-Contractor Agreement form for use when that delivery method is chosen.</w:t>
        <w:br/>
        <w:t xml:space="preserve">        </w:t>
      </w:r>
    </w:p>
    <w:p>
      <w:pPr>
        <w:pStyle w:val="ListNumber"/>
      </w:pPr>
      <w:r>
        <w:t>Three Delivery Methods — Lump Sum, Cost-Plus, GMP</w:t>
      </w:r>
    </w:p>
    <w:p>
      <w:pPr>
        <w:pStyle w:val="ListNumber"/>
      </w:pPr>
      <w:r>
        <w:t>When to Use Each Method</w:t>
      </w:r>
    </w:p>
    <w:p>
      <w:pPr>
        <w:pStyle w:val="ListNumber"/>
      </w:pPr>
      <w:r>
        <w:t>Cross-References Within ContrPro Complete Tier</w:t>
      </w:r>
    </w:p>
    <w:p>
      <w:pPr>
        <w:pStyle w:val="ListNumber"/>
      </w:pPr>
      <w:r>
        <w:t>Cost-Plus Owner-Contractor Agreement (Form)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Lump Sum (Stipulated Sum)</w:t>
            </w:r>
          </w:p>
        </w:tc>
        <w:tc>
          <w:tcPr>
            <w:tcW w:type="dxa" w:w="2160"/>
          </w:tcPr>
          <w:p>
            <w:r>
              <w:t>Cost-Plus (Cost Reimbursable + Fee, no GMP)</w:t>
            </w:r>
          </w:p>
        </w:tc>
        <w:tc>
          <w:tcPr>
            <w:tcW w:type="dxa" w:w="2160"/>
          </w:tcPr>
          <w:p>
            <w:r>
              <w:t>Cost-Plus with GMP</w:t>
            </w:r>
          </w:p>
        </w:tc>
      </w:tr>
      <w:tr>
        <w:tc>
          <w:tcPr>
            <w:tcW w:type="dxa" w:w="2160"/>
          </w:tcPr>
          <w:p>
            <w:r>
              <w:t>Owner pays</w:t>
            </w:r>
          </w:p>
        </w:tc>
        <w:tc>
          <w:tcPr>
            <w:tcW w:type="dxa" w:w="2160"/>
          </w:tcPr>
          <w:p>
            <w:r>
              <w:t>Fixed contract sum agreed at execution</w:t>
            </w:r>
          </w:p>
        </w:tc>
        <w:tc>
          <w:tcPr>
            <w:tcW w:type="dxa" w:w="2160"/>
          </w:tcPr>
          <w:p>
            <w:r>
              <w:t>Actual cost + agreed fee — no upper limit</w:t>
            </w:r>
          </w:p>
        </w:tc>
        <w:tc>
          <w:tcPr>
            <w:tcW w:type="dxa" w:w="2160"/>
          </w:tcPr>
          <w:p>
            <w:r>
              <w:t>Actual cost + agreed fee — capped at GMP</w:t>
            </w:r>
          </w:p>
        </w:tc>
      </w:tr>
      <w:tr>
        <w:tc>
          <w:tcPr>
            <w:tcW w:type="dxa" w:w="2160"/>
          </w:tcPr>
          <w:p>
            <w:r>
              <w:t>Cost overrun risk</w:t>
            </w:r>
          </w:p>
        </w:tc>
        <w:tc>
          <w:tcPr>
            <w:tcW w:type="dxa" w:w="2160"/>
          </w:tcPr>
          <w:p>
            <w:r>
              <w:t>Contractor (within scope)</w:t>
            </w:r>
          </w:p>
        </w:tc>
        <w:tc>
          <w:tcPr>
            <w:tcW w:type="dxa" w:w="2160"/>
          </w:tcPr>
          <w:p>
            <w:r>
              <w:t>Owner (no protection on cost)</w:t>
            </w:r>
          </w:p>
        </w:tc>
        <w:tc>
          <w:tcPr>
            <w:tcW w:type="dxa" w:w="2160"/>
          </w:tcPr>
          <w:p>
            <w:r>
              <w:t>Contractor (above GMP)</w:t>
            </w:r>
          </w:p>
        </w:tc>
      </w:tr>
      <w:tr>
        <w:tc>
          <w:tcPr>
            <w:tcW w:type="dxa" w:w="2160"/>
          </w:tcPr>
          <w:p>
            <w:r>
              <w:t>Cost transparency to owner</w:t>
            </w:r>
          </w:p>
        </w:tc>
        <w:tc>
          <w:tcPr>
            <w:tcW w:type="dxa" w:w="2160"/>
          </w:tcPr>
          <w:p>
            <w:r>
              <w:t>None — contractor's cost is private</w:t>
            </w:r>
          </w:p>
        </w:tc>
        <w:tc>
          <w:tcPr>
            <w:tcW w:type="dxa" w:w="2160"/>
          </w:tcPr>
          <w:p>
            <w:r>
              <w:t>Full open-book accounting</w:t>
            </w:r>
          </w:p>
        </w:tc>
        <w:tc>
          <w:tcPr>
            <w:tcW w:type="dxa" w:w="2160"/>
          </w:tcPr>
          <w:p>
            <w:r>
              <w:t>Full open-book accounting</w:t>
            </w:r>
          </w:p>
        </w:tc>
      </w:tr>
      <w:tr>
        <w:tc>
          <w:tcPr>
            <w:tcW w:type="dxa" w:w="2160"/>
          </w:tcPr>
          <w:p>
            <w:r>
              <w:t>Design completeness required at contract</w:t>
            </w:r>
          </w:p>
        </w:tc>
        <w:tc>
          <w:tcPr>
            <w:tcW w:type="dxa" w:w="2160"/>
          </w:tcPr>
          <w:p>
            <w:r>
              <w:t>Bid documents must be substantially complete (90%+ CDs)</w:t>
            </w:r>
          </w:p>
        </w:tc>
        <w:tc>
          <w:tcPr>
            <w:tcW w:type="dxa" w:w="2160"/>
          </w:tcPr>
          <w:p>
            <w:r>
              <w:t>Can begin with conceptual or schematic design</w:t>
            </w:r>
          </w:p>
        </w:tc>
        <w:tc>
          <w:tcPr>
            <w:tcW w:type="dxa" w:w="2160"/>
          </w:tcPr>
          <w:p>
            <w:r>
              <w:t>Begin with schematic / DD; GMP set at ~95% CDs</w:t>
            </w:r>
          </w:p>
        </w:tc>
      </w:tr>
      <w:tr>
        <w:tc>
          <w:tcPr>
            <w:tcW w:type="dxa" w:w="2160"/>
          </w:tcPr>
          <w:p>
            <w:r>
              <w:t>Contractor incentive on cost</w:t>
            </w:r>
          </w:p>
        </w:tc>
        <w:tc>
          <w:tcPr>
            <w:tcW w:type="dxa" w:w="2160"/>
          </w:tcPr>
          <w:p>
            <w:r>
              <w:t>Strong — every dollar saved is contractor profit</w:t>
            </w:r>
          </w:p>
        </w:tc>
        <w:tc>
          <w:tcPr>
            <w:tcW w:type="dxa" w:w="2160"/>
          </w:tcPr>
          <w:p>
            <w:r>
              <w:t>Weak — contractor profit is fee on cost (higher cost may even mean higher fee on % structure)</w:t>
            </w:r>
          </w:p>
        </w:tc>
        <w:tc>
          <w:tcPr>
            <w:tcW w:type="dxa" w:w="2160"/>
          </w:tcPr>
          <w:p>
            <w:r>
              <w:t>Strong below GMP via Savings Sharing; absolute above GMP</w:t>
            </w:r>
          </w:p>
        </w:tc>
      </w:tr>
      <w:tr>
        <w:tc>
          <w:tcPr>
            <w:tcW w:type="dxa" w:w="2160"/>
          </w:tcPr>
          <w:p>
            <w:r>
              <w:t>Owner administrative burden</w:t>
            </w:r>
          </w:p>
        </w:tc>
        <w:tc>
          <w:tcPr>
            <w:tcW w:type="dxa" w:w="2160"/>
          </w:tcPr>
          <w:p>
            <w:r>
              <w:t>Light — pay-app review, change orders</w:t>
            </w:r>
          </w:p>
        </w:tc>
        <w:tc>
          <w:tcPr>
            <w:tcW w:type="dxa" w:w="2160"/>
          </w:tcPr>
          <w:p>
            <w:r>
              <w:t>Heavy — open-book monitoring, cost auditing, allowance reconciliation</w:t>
            </w:r>
          </w:p>
        </w:tc>
        <w:tc>
          <w:tcPr>
            <w:tcW w:type="dxa" w:w="2160"/>
          </w:tcPr>
          <w:p>
            <w:r>
              <w:t>Medium-heavy — open-book + GMP tracking + savings reconciliation</w:t>
            </w:r>
          </w:p>
        </w:tc>
      </w:tr>
      <w:tr>
        <w:tc>
          <w:tcPr>
            <w:tcW w:type="dxa" w:w="2160"/>
          </w:tcPr>
          <w:p>
            <w:r>
              <w:t>Contractor administrative burden</w:t>
            </w:r>
          </w:p>
        </w:tc>
        <w:tc>
          <w:tcPr>
            <w:tcW w:type="dxa" w:w="2160"/>
          </w:tcPr>
          <w:p>
            <w:r>
              <w:t>Standard — pay-app, change orders, schedule</w:t>
            </w:r>
          </w:p>
        </w:tc>
        <w:tc>
          <w:tcPr>
            <w:tcW w:type="dxa" w:w="2160"/>
          </w:tcPr>
          <w:p>
            <w:r>
              <w:t>Heavy — real-time cost tracking by line item, monthly cost reporting, audit support</w:t>
            </w:r>
          </w:p>
        </w:tc>
        <w:tc>
          <w:tcPr>
            <w:tcW w:type="dxa" w:w="2160"/>
          </w:tcPr>
          <w:p>
            <w:r>
              <w:t>Heavy — same as cost-plus + buy-out tracking + contingency reporting</w:t>
            </w:r>
          </w:p>
        </w:tc>
      </w:tr>
      <w:tr>
        <w:tc>
          <w:tcPr>
            <w:tcW w:type="dxa" w:w="2160"/>
          </w:tcPr>
          <w:p>
            <w:r>
              <w:t>Change order treatment</w:t>
            </w:r>
          </w:p>
        </w:tc>
        <w:tc>
          <w:tcPr>
            <w:tcW w:type="dxa" w:w="2160"/>
          </w:tcPr>
          <w:p>
            <w:r>
              <w:t>Each change priced as discrete addition to contract sum</w:t>
            </w:r>
          </w:p>
        </w:tc>
        <w:tc>
          <w:tcPr>
            <w:tcW w:type="dxa" w:w="2160"/>
          </w:tcPr>
          <w:p>
            <w:r>
              <w:t>Changes are reimbursed cost; minimal change-order friction</w:t>
            </w:r>
          </w:p>
        </w:tc>
        <w:tc>
          <w:tcPr>
            <w:tcW w:type="dxa" w:w="2160"/>
          </w:tcPr>
          <w:p>
            <w:r>
              <w:t>Changes adjust GMP if scope; contingency draws if in-scope unforeseen</w:t>
            </w:r>
          </w:p>
        </w:tc>
      </w:tr>
      <w:tr>
        <w:tc>
          <w:tcPr>
            <w:tcW w:type="dxa" w:w="2160"/>
          </w:tcPr>
          <w:p>
            <w:r>
              <w:t>Best for</w:t>
            </w:r>
          </w:p>
        </w:tc>
        <w:tc>
          <w:tcPr>
            <w:tcW w:type="dxa" w:w="2160"/>
          </w:tcPr>
          <w:p>
            <w:r>
              <w:t>Well-defined projects, competitive bidding, owner risk-averse on cost</w:t>
            </w:r>
          </w:p>
        </w:tc>
        <w:tc>
          <w:tcPr>
            <w:tcW w:type="dxa" w:w="2160"/>
          </w:tcPr>
          <w:p>
            <w:r>
              <w:t>Repeat-relationship work, emergency response, projects too undefined to lump-sum, owner has financial sophistication and trusts contractor</w:t>
            </w:r>
          </w:p>
        </w:tc>
        <w:tc>
          <w:tcPr>
            <w:tcW w:type="dxa" w:w="2160"/>
          </w:tcPr>
          <w:p>
            <w:r>
              <w:t>Mid-complexity projects with design still developing, owner wants transparency + cost protection</w:t>
            </w:r>
          </w:p>
        </w:tc>
      </w:tr>
      <w:tr>
        <w:tc>
          <w:tcPr>
            <w:tcW w:type="dxa" w:w="2160"/>
          </w:tcPr>
          <w:p>
            <w:r>
              <w:t>Industry contract template</w:t>
            </w:r>
          </w:p>
        </w:tc>
        <w:tc>
          <w:tcPr>
            <w:tcW w:type="dxa" w:w="2160"/>
          </w:tcPr>
          <w:p>
            <w:r>
              <w:t>AIA A101 (or this tier'sconstruction-contract.html)</w:t>
            </w:r>
          </w:p>
        </w:tc>
        <w:tc>
          <w:tcPr>
            <w:tcW w:type="dxa" w:w="2160"/>
          </w:tcPr>
          <w:p>
            <w:r>
              <w:t>AIA A103 (or this document below)</w:t>
            </w:r>
          </w:p>
        </w:tc>
        <w:tc>
          <w:tcPr>
            <w:tcW w:type="dxa" w:w="2160"/>
          </w:tcPr>
          <w:p>
            <w:r>
              <w:t>AIA A102 / A133 (or this tier'sgmp-agreement.html)</w:t>
            </w:r>
          </w:p>
        </w:tc>
      </w:tr>
    </w:tbl>
    <w:p>
      <w:pPr>
        <w:pStyle w:val="ListBullet"/>
      </w:pPr>
      <w:r>
        <w:t>Design documents are substantially complete (90%+ CDs) before contract execution</w:t>
      </w:r>
    </w:p>
    <w:p>
      <w:pPr>
        <w:pStyle w:val="ListBullet"/>
      </w:pPr>
      <w:r>
        <w:t>Project scope is well-defined; risk of mid-project scope change is low</w:t>
      </w:r>
    </w:p>
    <w:p>
      <w:pPr>
        <w:pStyle w:val="ListBullet"/>
      </w:pPr>
      <w:r>
        <w:t>Owner wants the simplest contract administration and is willing to pay a contingency premium for cost certainty</w:t>
      </w:r>
    </w:p>
    <w:p>
      <w:pPr>
        <w:pStyle w:val="ListBullet"/>
      </w:pPr>
      <w:r>
        <w:t>Owner is bidding the project competitively to multiple contractors</w:t>
      </w:r>
    </w:p>
    <w:p>
      <w:pPr>
        <w:pStyle w:val="ListBullet"/>
      </w:pPr>
      <w:r>
        <w:t>Owner does not have the financial sophistication or staff to manage open-book accounting</w:t>
      </w:r>
    </w:p>
    <w:p>
      <w:pPr>
        <w:pStyle w:val="ListBullet"/>
      </w:pPr>
      <w:r>
        <w:t>Project is straightforward enough that a clean bid is practical (most cookie-cutter commercial work, most public-sector competitive bids)</w:t>
      </w:r>
    </w:p>
    <w:p>
      <w:pPr>
        <w:pStyle w:val="ListBullet"/>
      </w:pPr>
      <w:r>
        <w:t>Project scope cannot be defined in advance (emergency repair, disaster response, exploratory remediation)</w:t>
      </w:r>
    </w:p>
    <w:p>
      <w:pPr>
        <w:pStyle w:val="ListBullet"/>
      </w:pPr>
      <w:r>
        <w:t>Owner has a long-term repeat relationship with contractor and trusts cost reporting</w:t>
      </w:r>
    </w:p>
    <w:p>
      <w:pPr>
        <w:pStyle w:val="ListBullet"/>
      </w:pPr>
      <w:r>
        <w:t>Owner is highly sophisticated financially and willing to assume cost risk in exchange for total flexibility</w:t>
      </w:r>
    </w:p>
    <w:p>
      <w:pPr>
        <w:pStyle w:val="ListBullet"/>
      </w:pPr>
      <w:r>
        <w:t>Project is so customized that competitive bidding would not yield comparable bids</w:t>
      </w:r>
    </w:p>
    <w:p>
      <w:pPr>
        <w:pStyle w:val="ListBullet"/>
      </w:pPr>
      <w:r>
        <w:t>Time is critical and waiting for design completion would be prohibitive</w:t>
      </w:r>
    </w:p>
    <w:p>
      <w:pPr>
        <w:pStyle w:val="ListBullet"/>
      </w:pPr>
      <w:r>
        <w:t>Owner is internal (large institutional owner with construction division performing work for the parent organization)</w:t>
      </w:r>
    </w:p>
    <w:p>
      <w:pPr>
        <w:pStyle w:val="ListBullet"/>
      </w:pPr>
      <w:r>
        <w:t>Project complexity (renovation of occupied buildings, healthcare, biotech, lab, institutional) makes lump-sum bidding speculative or expensive (high contingency)</w:t>
      </w:r>
    </w:p>
    <w:p>
      <w:pPr>
        <w:pStyle w:val="ListBullet"/>
      </w:pPr>
      <w:r>
        <w:t>Owner wants the cost transparency of cost-plus with the cost protection of a cap</w:t>
      </w:r>
    </w:p>
    <w:p>
      <w:pPr>
        <w:pStyle w:val="ListBullet"/>
      </w:pPr>
      <w:r>
        <w:t>Design is sufficiently developed to estimate cost (DD or 50% CDs) but not so finalized that lump-sum is practical</w:t>
      </w:r>
    </w:p>
    <w:p>
      <w:pPr>
        <w:pStyle w:val="ListBullet"/>
      </w:pPr>
      <w:r>
        <w:t>Owner wants the contractor engaged during preconstruction to advise on constructibility and procurement</w:t>
      </w:r>
    </w:p>
    <w:p>
      <w:pPr>
        <w:pStyle w:val="ListBullet"/>
      </w:pPr>
      <w:r>
        <w:t>Owner-contractor relationship is collaborative or design-build and supports the more complex GMP administration</w:t>
      </w:r>
    </w:p>
    <w:p>
      <w:pPr>
        <w:pStyle w:val="ListBullet"/>
      </w:pPr>
      <w:r>
        <w:t>Project is mid-to-large size where the savings-sharing incentive is meaningful to both parties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Delivery Method</w:t>
            </w:r>
          </w:p>
        </w:tc>
        <w:tc>
          <w:tcPr>
            <w:tcW w:type="dxa" w:w="2880"/>
          </w:tcPr>
          <w:p>
            <w:r>
              <w:t>ContrPro Complete File</w:t>
            </w:r>
          </w:p>
        </w:tc>
        <w:tc>
          <w:tcPr>
            <w:tcW w:type="dxa" w:w="2880"/>
          </w:tcPr>
          <w:p>
            <w:r>
              <w:t>Use For</w:t>
            </w:r>
          </w:p>
        </w:tc>
      </w:tr>
      <w:tr>
        <w:tc>
          <w:tcPr>
            <w:tcW w:type="dxa" w:w="2880"/>
          </w:tcPr>
          <w:p>
            <w:r>
              <w:t>Lump Sum</w:t>
            </w:r>
          </w:p>
        </w:tc>
        <w:tc>
          <w:tcPr>
            <w:tcW w:type="dxa" w:w="2880"/>
          </w:tcPr>
          <w:p>
            <w:r>
              <w:t>complete/documents/construction-contract.html(1,330L Construction Contract)</w:t>
            </w:r>
          </w:p>
        </w:tc>
        <w:tc>
          <w:tcPr>
            <w:tcW w:type="dxa" w:w="2880"/>
          </w:tcPr>
          <w:p>
            <w:r>
              <w:t>Standard fixed-price commercial work; competitive-bid projects</w:t>
            </w:r>
          </w:p>
        </w:tc>
      </w:tr>
      <w:tr>
        <w:tc>
          <w:tcPr>
            <w:tcW w:type="dxa" w:w="2880"/>
          </w:tcPr>
          <w:p>
            <w:r>
              <w:t>Cost-Plus (no GMP)</w:t>
            </w:r>
          </w:p>
        </w:tc>
        <w:tc>
          <w:tcPr>
            <w:tcW w:type="dxa" w:w="2880"/>
          </w:tcPr>
          <w:p>
            <w:r>
              <w:t>This document — Section 4 below</w:t>
            </w:r>
          </w:p>
        </w:tc>
        <w:tc>
          <w:tcPr>
            <w:tcW w:type="dxa" w:w="2880"/>
          </w:tcPr>
          <w:p>
            <w:r>
              <w:t>Repeat-relationship, emergency response, undefined scope, internal-owner work</w:t>
            </w:r>
          </w:p>
        </w:tc>
      </w:tr>
      <w:tr>
        <w:tc>
          <w:tcPr>
            <w:tcW w:type="dxa" w:w="2880"/>
          </w:tcPr>
          <w:p>
            <w:r>
              <w:t>Cost-Plus with GMP</w:t>
            </w:r>
          </w:p>
        </w:tc>
        <w:tc>
          <w:tcPr>
            <w:tcW w:type="dxa" w:w="2880"/>
          </w:tcPr>
          <w:p>
            <w:r>
              <w:t>complete/gc/gmp-agreement.html(716L GMP Agreement)</w:t>
            </w:r>
          </w:p>
        </w:tc>
        <w:tc>
          <w:tcPr>
            <w:tcW w:type="dxa" w:w="2880"/>
          </w:tcPr>
          <w:p>
            <w:r>
              <w:t>Mid-complexity projects with cost-transparency + cost-protection requirement</w:t>
            </w:r>
          </w:p>
        </w:tc>
      </w:tr>
      <w:tr>
        <w:tc>
          <w:tcPr>
            <w:tcW w:type="dxa" w:w="2880"/>
          </w:tcPr>
          <w:p>
            <w:r>
              <w:t>Master Subcontract</w:t>
            </w:r>
          </w:p>
        </w:tc>
        <w:tc>
          <w:tcPr>
            <w:tcW w:type="dxa" w:w="2880"/>
          </w:tcPr>
          <w:p>
            <w:r>
              <w:t>complete/gc/master-subcontract-agreement.html(751L)</w:t>
            </w:r>
          </w:p>
        </w:tc>
        <w:tc>
          <w:tcPr>
            <w:tcW w:type="dxa" w:w="2880"/>
          </w:tcPr>
          <w:p>
            <w:r>
              <w:t>GC-Sub relationship, applies under any of the three Owner-Contractor delivery methods above</w:t>
            </w:r>
          </w:p>
        </w:tc>
      </w:tr>
    </w:tbl>
    <w:p>
      <w:r>
        <w:t>This Cost-Plus Owner-Contractor Agreement is the formal contract instrument when the Cost-Plus (no GMP) delivery method has been chosen. It mirrors the structural framework of AIA Document A103 (Standard Form of Agreement Between Owner and Contractor where the basis of payment is the Cost of the Work Plus a Fee without a Guaranteed Maximum Price) without reproducing AIA's copyrighted form verbatim.</w:t>
      </w:r>
    </w:p>
    <w:tbl>
      <w:tblPr>
        <w:tblStyle w:val="LightGrid-Accent1"/>
        <w:tblW w:type="auto" w:w="0"/>
        <w:tblLook w:firstColumn="1" w:firstRow="1" w:lastColumn="0" w:lastRow="0" w:noHBand="0" w:noVBand="1" w:val="04A0"/>
      </w:tblPr>
      <w:tblGrid>
        <w:gridCol w:w="4320"/>
        <w:gridCol w:w="4320"/>
      </w:tblGrid>
      <w:tr>
        <w:tc>
          <w:tcPr>
            <w:tcW w:type="dxa" w:w="4320"/>
          </w:tcPr>
          <w:p>
            <w:r>
              <w:t>OWNER:</w:t>
            </w:r>
          </w:p>
        </w:tc>
        <w:tc>
          <w:tcPr>
            <w:tcW w:type="dxa" w:w="4320"/>
          </w:tcPr>
          <w:p>
            <w:r>
              <w:t>[Owner Legal Name][Address]</w:t>
            </w:r>
          </w:p>
        </w:tc>
      </w:tr>
      <w:tr>
        <w:tc>
          <w:tcPr>
            <w:tcW w:type="dxa" w:w="4320"/>
          </w:tcPr>
          <w:p>
            <w:r>
              <w:t>CONTRACTOR:</w:t>
            </w:r>
          </w:p>
        </w:tc>
        <w:tc>
          <w:tcPr>
            <w:tcW w:type="dxa" w:w="4320"/>
          </w:tcPr>
          <w:p>
            <w:r>
              <w:t>[GC Legal Name][Address]License No.:[State License #]</w:t>
            </w:r>
          </w:p>
        </w:tc>
      </w:tr>
      <w:tr>
        <w:tc>
          <w:tcPr>
            <w:tcW w:type="dxa" w:w="4320"/>
          </w:tcPr>
          <w:p>
            <w:r>
              <w:t>ARCHITECT (if separately retained):</w:t>
            </w:r>
          </w:p>
        </w:tc>
        <w:tc>
          <w:tcPr>
            <w:tcW w:type="dxa" w:w="4320"/>
          </w:tcPr>
          <w:p>
            <w:r>
              <w:t>[Architect firm][Address]</w:t>
            </w:r>
          </w:p>
        </w:tc>
      </w:tr>
    </w:tbl>
    <w:p>
      <w:r>
        <w:rPr>
          <w:b/>
        </w:rPr>
        <w:t>Recitals.</w:t>
      </w:r>
      <w:r>
        <w:t xml:space="preserve"> Owner desires to engage Contractor to construct the Project described in Exhibit A on a cost-reimbursable basis with an agreed fee, without a Guaranteed Maximum Price. Owner has determined that the project scope, schedule, or other factors make a fixed-price (Lump Sum) or capped (GMP) delivery method impractical or undesirable. Contractor desires to undertake the Project on the terms set forth in this Agreement.</w:t>
      </w:r>
    </w:p>
    <w:p>
      <w:r>
        <w:t>1.1 Components.</w:t>
      </w:r>
      <w:r>
        <w:t xml:space="preserve"> The Contract Documents consist of: (a) this Agreement; (b) the General Conditions of the Contract for Construction (Exhibit B); (c) the Drawings and Specifications, as they exist at the Effective Date and as updated and issued during the course of the Work; (d) all Change Orders executed during the Work; (e) other documents identified in this Agreement.</w:t>
      </w:r>
    </w:p>
    <w:p>
      <w:r>
        <w:t>1.2 Order of Precedence.</w:t>
      </w:r>
      <w:r>
        <w:t xml:space="preserve"> In the event of conflict, the order of precedence is: (a) Change Orders in reverse chronological order; (b) this Agreement; (c) the General Conditions; (d) the Specifications; (e) the Drawings.</w:t>
      </w:r>
    </w:p>
    <w:p>
      <w:r>
        <w:t>2.1 Scope.</w:t>
      </w:r>
      <w:r>
        <w:t xml:space="preserve"> Contractor shall furnish all labor, materials, equipment, supervision, and other items necessary to construct the Project as described in the Drawings and Specifications and in any subsequent revisions or change orders.</w:t>
      </w:r>
    </w:p>
    <w:p>
      <w:r>
        <w:t>2.2 Date of Commencement.</w:t>
      </w:r>
      <w:r>
        <w:t xml:space="preserve"> The Date of Commencement is the date stated in this Agreement or, if not stated, the date of Owner's written notice to proceed: </w:t>
      </w:r>
      <w:r>
        <w:t>[Date]</w:t>
      </w:r>
      <w:r>
        <w:t>.</w:t>
      </w:r>
    </w:p>
    <w:p>
      <w:r>
        <w:t>2.3 Substantial Completion.</w:t>
      </w:r>
      <w:r>
        <w:t xml:space="preserve"> Substantial Completion is targeted for </w:t>
      </w:r>
      <w:r>
        <w:t>[Date]</w:t>
      </w:r>
      <w:r>
        <w:t>, subject to adjustment based on actual scope developed during the Work. Because this is a Cost-Plus (no GMP) Agreement, the substantial completion date is a target rather than a fixed contractual deadline; mutual agreement on schedule extension is contemplated where actual scope differs from the initial assumptions.</w:t>
      </w:r>
    </w:p>
    <w:p>
      <w:r>
        <w:t>3.1 Reimbursable Costs.</w:t>
      </w:r>
      <w:r>
        <w:t xml:space="preserve"> Owner shall reimburse Contractor for the Cost of the Work as defined in this Agreement. Cost of the Work means costs necessarily incurred by Contractor in the proper performance of the Work and includes:</w:t>
      </w:r>
    </w:p>
    <w:p>
      <w:pPr>
        <w:pStyle w:val="ListBullet"/>
      </w:pPr>
      <w:r>
        <w:t>Wages of construction workers directly employed by Contractor in the performance of the Work, including burdens (payroll taxes, workers' comp, fringe benefits, vacation accrual)</w:t>
      </w:r>
    </w:p>
    <w:p>
      <w:pPr>
        <w:pStyle w:val="ListBullet"/>
      </w:pPr>
      <w:r>
        <w:t>Salaries and burdens of Contractor's project-site staff (project manager, superintendent, project engineer, safety officer, project accountant) in proportion to time devoted to the Project</w:t>
      </w:r>
    </w:p>
    <w:p>
      <w:pPr>
        <w:pStyle w:val="ListBullet"/>
      </w:pPr>
      <w:r>
        <w:t>Payments to Subcontractors for Work performed pursuant to subcontracts entered into in accordance with this Agreement</w:t>
      </w:r>
    </w:p>
    <w:p>
      <w:pPr>
        <w:pStyle w:val="ListBullet"/>
      </w:pPr>
      <w:r>
        <w:t>Costs of materials and equipment incorporated or to be incorporated in the Project (with discounts, rebates, and refunds accruing to Owner)</w:t>
      </w:r>
    </w:p>
    <w:p>
      <w:pPr>
        <w:pStyle w:val="ListBullet"/>
      </w:pPr>
      <w:r>
        <w:t>Costs of construction equipment used in the Work (rental rates not to exceed prevailing local rates; small tools and consumables)</w:t>
      </w:r>
    </w:p>
    <w:p>
      <w:pPr>
        <w:pStyle w:val="ListBullet"/>
      </w:pPr>
      <w:r>
        <w:t>Costs of temporary site facilities (fencing, trailer, utilities, dumpster service)</w:t>
      </w:r>
    </w:p>
    <w:p>
      <w:pPr>
        <w:pStyle w:val="ListBullet"/>
      </w:pPr>
      <w:r>
        <w:t>Permit fees, royalties, and licenses required for the Work</w:t>
      </w:r>
    </w:p>
    <w:p>
      <w:pPr>
        <w:pStyle w:val="ListBullet"/>
      </w:pPr>
      <w:r>
        <w:t>Sales, use, and similar taxes related to the Work</w:t>
      </w:r>
    </w:p>
    <w:p>
      <w:pPr>
        <w:pStyle w:val="ListBullet"/>
      </w:pPr>
      <w:r>
        <w:t>Cost of bonds and project-specific insurance</w:t>
      </w:r>
    </w:p>
    <w:p>
      <w:pPr>
        <w:pStyle w:val="ListBullet"/>
      </w:pPr>
      <w:r>
        <w:t>Cost of testing required by the Contract Documents</w:t>
      </w:r>
    </w:p>
    <w:p>
      <w:pPr>
        <w:pStyle w:val="ListBullet"/>
      </w:pPr>
      <w:r>
        <w:t>Cost of legal services for matters directly related to the Work (with Owner's prior approval for non-routine matters)</w:t>
      </w:r>
    </w:p>
    <w:p>
      <w:pPr>
        <w:pStyle w:val="ListBullet"/>
      </w:pPr>
      <w:r>
        <w:t>Cost of removal of debris from the site</w:t>
      </w:r>
    </w:p>
    <w:p>
      <w:r>
        <w:t>3.2 Costs NOT Reimbursable.</w:t>
      </w:r>
      <w:r>
        <w:t xml:space="preserve"> Costs not reimbursable include:</w:t>
      </w:r>
    </w:p>
    <w:p>
      <w:pPr>
        <w:pStyle w:val="ListBullet"/>
      </w:pPr>
      <w:r>
        <w:t>Salaries of Contractor's executive officers, principals, partners, members, and general office staff (other than project-site staff per Section 3.1)</w:t>
      </w:r>
    </w:p>
    <w:p>
      <w:pPr>
        <w:pStyle w:val="ListBullet"/>
      </w:pPr>
      <w:r>
        <w:t>Expenses of Contractor's principal and branch offices (except as project-related)</w:t>
      </w:r>
    </w:p>
    <w:p>
      <w:pPr>
        <w:pStyle w:val="ListBullet"/>
      </w:pPr>
      <w:r>
        <w:t>Capital expenses including interest on Contractor's capital used for the Work</w:t>
      </w:r>
    </w:p>
    <w:p>
      <w:pPr>
        <w:pStyle w:val="ListBullet"/>
      </w:pPr>
      <w:r>
        <w:t>Profit on Contractor's own forces (covered by Fee, not double-billed as Cost of the Work)</w:t>
      </w:r>
    </w:p>
    <w:p>
      <w:pPr>
        <w:pStyle w:val="ListBullet"/>
      </w:pPr>
      <w:r>
        <w:t>Costs of correcting Defective Work (unless Defective Work is caused by Owner-furnished materials or Owner-directed methods)</w:t>
      </w:r>
    </w:p>
    <w:p>
      <w:pPr>
        <w:pStyle w:val="ListBullet"/>
      </w:pPr>
      <w:r>
        <w:t>Costs incurred for unsafe practices or violations attributable to Contractor's negligence</w:t>
      </w:r>
    </w:p>
    <w:p>
      <w:pPr>
        <w:pStyle w:val="ListBullet"/>
      </w:pPr>
      <w:r>
        <w:t>Cost of insurance premiums for Contractor's general business insurance not project-specific</w:t>
      </w:r>
    </w:p>
    <w:p>
      <w:pPr>
        <w:pStyle w:val="ListBullet"/>
      </w:pPr>
      <w:r>
        <w:t>Legal costs for defending or prosecuting claims arising out of Contractor's default or breach</w:t>
      </w:r>
    </w:p>
    <w:p>
      <w:r>
        <w:t>4.1 Fee Structure.</w:t>
      </w:r>
      <w:r>
        <w:t xml:space="preserve"> Owner shall pay Contractor a Fee on the basis of one of the following structures, selected and stated in this Agreement:</w:t>
      </w:r>
    </w:p>
    <w:p>
      <w:pPr>
        <w:pStyle w:val="ListBullet"/>
      </w:pPr>
      <w:r>
        <w:rPr>
          <w:b/>
        </w:rPr>
        <w:t>Fixed Fee.</w:t>
      </w:r>
      <w:r>
        <w:t xml:space="preserve"> A fixed dollar amount of $</w:t>
      </w:r>
      <w:r>
        <w:t>[Amount]</w:t>
      </w:r>
      <w:r>
        <w:t>, payable in monthly installments proportional to the percent complete of the Cost of the Work. Use this structure when total scope is reasonably bounded, even if specific costs are uncertain.</w:t>
      </w:r>
    </w:p>
    <w:p>
      <w:pPr>
        <w:pStyle w:val="ListBullet"/>
      </w:pPr>
      <w:r>
        <w:rPr>
          <w:b/>
        </w:rPr>
        <w:t>Percentage Fee.</w:t>
      </w:r>
      <w:r>
        <w:t xml:space="preserve"> A fee equal to </w:t>
      </w:r>
      <w:r>
        <w:t>[X%]</w:t>
      </w:r>
      <w:r>
        <w:t xml:space="preserve"> of the Cost of the Work, payable monthly with each Application for Payment. Use this structure when total scope is uncertain enough that a fixed fee cannot be reasonably estimated.</w:t>
      </w:r>
    </w:p>
    <w:p>
      <w:pPr>
        <w:pStyle w:val="ListBullet"/>
      </w:pPr>
      <w:r>
        <w:rPr>
          <w:b/>
        </w:rPr>
        <w:t>Hybrid (Fixed + Percentage).</w:t>
      </w:r>
      <w:r>
        <w:t xml:space="preserve"> A fixed component of $</w:t>
      </w:r>
      <w:r>
        <w:t>[Amount]</w:t>
      </w:r>
      <w:r>
        <w:t xml:space="preserve"> plus a percentage of </w:t>
      </w:r>
      <w:r>
        <w:t>[Y%]</w:t>
      </w:r>
      <w:r>
        <w:t xml:space="preserve"> on Cost of the Work above $</w:t>
      </w:r>
      <w:r>
        <w:t>[Threshold]</w:t>
      </w:r>
      <w:r>
        <w:t>. Use this structure to balance fee predictability with scope-elasticity protection for the contractor.</w:t>
      </w:r>
    </w:p>
    <w:p>
      <w:r>
        <w:t>4.2 Fee on Change Orders.</w:t>
      </w:r>
      <w:r>
        <w:t xml:space="preserve"> Each Change Order adjusts the Fee proportionally — additive Change Orders increase the Fee at the structure above; deductive Change Orders decrease the Fee.</w:t>
      </w:r>
    </w:p>
    <w:p>
      <w:r>
        <w:t>4.3 Fee Independent of Cost Performance.</w:t>
      </w:r>
      <w:r>
        <w:t xml:space="preserve"> Because this is a Cost-Plus (no GMP) Agreement, there is no Savings Sharing — Owner bears all cost variance, both up and down. Contractor's Fee is the agreed compensation for performance of the Work, independent of cost outcome.</w:t>
      </w:r>
    </w:p>
    <w:p>
      <w:r>
        <w:t>5.1 Application for Payment.</w:t>
      </w:r>
      <w:r>
        <w:t xml:space="preserve"> Contractor shall submit a monthly Application for Payment supported by detailed Cost of the Work documentation: subcontractor pay applications, vendor invoices, payroll records for direct labor and project-site staff, equipment rental records, and other documentation reasonably required.</w:t>
      </w:r>
    </w:p>
    <w:p>
      <w:r>
        <w:t>5.2 Payment Timing.</w:t>
      </w:r>
      <w:r>
        <w:t xml:space="preserve"> Owner shall pay Contractor within </w:t>
      </w:r>
      <w:r>
        <w:t>[30]</w:t>
      </w:r>
      <w:r>
        <w:t xml:space="preserve"> days of Owner's receipt of the Application for Payment, less retainage and any amounts properly withheld.</w:t>
      </w:r>
    </w:p>
    <w:p>
      <w:r>
        <w:t>5.3 Retainage.</w:t>
      </w:r>
      <w:r>
        <w:t xml:space="preserve"> Retainage shall be withheld at </w:t>
      </w:r>
      <w:r>
        <w:t>[10%]</w:t>
      </w:r>
      <w:r>
        <w:t xml:space="preserve"> of each progress payment, released as set forth in the General Conditions.</w:t>
      </w:r>
    </w:p>
    <w:p>
      <w:r>
        <w:t>5.4 Final Payment.</w:t>
      </w:r>
      <w:r>
        <w:t xml:space="preserve"> Final payment, including release of all retainage, shall be made within </w:t>
      </w:r>
      <w:r>
        <w:t>[30]</w:t>
      </w:r>
      <w:r>
        <w:t xml:space="preserve"> days of Final Completion and submission of all required closeout documents.</w:t>
      </w:r>
    </w:p>
    <w:p>
      <w:r>
        <w:t>6.1 Open Book.</w:t>
      </w:r>
      <w:r>
        <w:t xml:space="preserve"> Contractor shall maintain Open Book accounting on the Project. All costs included as Cost of the Work shall be supported by documentation (invoices, paid receipts, payroll records, subcontract amounts, equipment rental tickets) available for Owner inspection on reasonable advance notice during the Work and for three (3) years after Final Completion.</w:t>
      </w:r>
    </w:p>
    <w:p>
      <w:r>
        <w:t>6.2 Audit Rights.</w:t>
      </w:r>
      <w:r>
        <w:t xml:space="preserve"> Owner, or Owner's designated independent auditor, shall have the right to audit Contractor's books and records pertaining to Cost of the Work at any time during the Work and for three (3) years after Final Completion, upon reasonable advance notice. Audit findings of overcharges entitle Owner to refund of the overcharge plus, if the overcharge exceeds </w:t>
      </w:r>
      <w:r>
        <w:t>[2%]</w:t>
      </w:r>
      <w:r>
        <w:t xml:space="preserve"> of audited Cost of the Work, reimbursement of Owner's reasonable audit costs.</w:t>
      </w:r>
    </w:p>
    <w:p>
      <w:r>
        <w:t>6.3 Real-Time Cost Reporting.</w:t>
      </w:r>
      <w:r>
        <w:t xml:space="preserve"> Contractor shall provide Owner with real-time cost reporting (typically weekly or biweekly), including: cumulative Cost of the Work to date by line item; cumulative Fee earned to date; estimated Cost at Completion (including projection of remaining work); variance from any prior projection. Real-time cost reporting is the operational substitute for the Owner's protection that a GMP cap would otherwise provide.</w:t>
      </w:r>
    </w:p>
    <w:p>
      <w:r>
        <w:t>7.1 Approval Threshold.</w:t>
      </w:r>
      <w:r>
        <w:t xml:space="preserve"> Contractor shall obtain Owner's prior written approval before entering into any individual subcontract or material purchase commitment exceeding $</w:t>
      </w:r>
      <w:r>
        <w:t>[Threshold — typical $25,000–$100,000 depending on project size]</w:t>
      </w:r>
      <w:r>
        <w:t>. The intent is operational visibility and cost control, not approval gatekeeping — Owner shall not unreasonably withhold or delay approval.</w:t>
      </w:r>
    </w:p>
    <w:p>
      <w:r>
        <w:t>7.2 Subcontracted Work.</w:t>
      </w:r>
      <w:r>
        <w:t xml:space="preserve"> Subcontracts shall be entered into on a basis approved by Owner: lump-sum (preferred for defined scope), unit-price (for quantity-driven work), or cost-plus (for genuinely undefined scope). Owner may require competitive bidding for subcontract packages above a threshold.</w:t>
      </w:r>
    </w:p>
    <w:p>
      <w:r>
        <w:t>8.1 General Conditions Incorporated.</w:t>
      </w:r>
      <w:r>
        <w:t xml:space="preserve"> All other provisions governing the Work — insurance, bonds, indemnification, scheduling, dispute resolution, default and termination, warranties, lien waivers, safety, intellectual property, and miscellaneous — are governed by the General Conditions (Exhibit B) and incorporated by reference. Where conflict exists between this Agreement and the General Conditions, this Agreement governs.</w:t>
      </w:r>
    </w:p>
    <w:p>
      <w:r>
        <w:t>8.2 Termination for Convenience.</w:t>
      </w:r>
      <w:r>
        <w:t xml:space="preserve"> Owner may terminate this Agreement for convenience upon thirty (30) days' written notice. Upon termination, Contractor shall be paid: (a) Cost of the Work properly performed through the date of termination; (b) Fee earned through the date of termination (proportional to Cost of the Work for Percentage Fee, or proportional to the project completion percentage for Fixed Fee); (c) reasonable wind-down costs (demobilization, restocking, sub cancellation charges). Termination for convenience does not give rise to any further claim.</w:t>
      </w:r>
    </w:p>
    <w:p>
      <w:r>
        <w:t>8.3 Governing Law.</w:t>
      </w:r>
      <w:r>
        <w:t xml:space="preserve"> This Agreement is governed by the laws of the State of </w:t>
      </w:r>
      <w:r>
        <w:t>[State of the Project]</w:t>
      </w:r>
      <w:r>
        <w:t>.</w:t>
      </w:r>
    </w:p>
    <w:p>
      <w:r>
        <w:t>8.4 Counterparts; Electronic Signatures.</w:t>
      </w:r>
      <w:r>
        <w:t xml:space="preserve"> This Agreement may be executed in counterparts and electronically signed.</w:t>
      </w:r>
    </w:p>
    <w:p>
      <w:r>
        <w:t>IN WITNESS WHEREOF, the parties have executed this Cost-Plus Owner-Contractor Agreement as of the Effective Date.</w:t>
      </w:r>
    </w:p>
    <w:p>
      <w:r>
        <w:t xml:space="preserve">State of </w:t>
      </w:r>
      <w:r>
        <w:t>[State]</w:t>
      </w:r>
      <w:r>
        <w:t xml:space="preserve"> · County of </w:t>
      </w:r>
      <w:r>
        <w:t>[County]</w:t>
      </w:r>
    </w:p>
    <w:p>
      <w:r>
        <w:t xml:space="preserve">On </w:t>
      </w:r>
      <w:r>
        <w:t>[Date]</w:t>
      </w:r>
      <w:r>
        <w:t xml:space="preserve">, before me, </w:t>
      </w:r>
      <w:r>
        <w:t>[Notary Name]</w:t>
      </w:r>
      <w:r>
        <w:t xml:space="preserve">, personally appeared </w:t>
      </w:r>
      <w:r>
        <w:t>[Signer Name]</w:t>
      </w:r>
      <w:r>
        <w:t>, who acknowledged that he/she/they executed the within instrument in his/her/their authorized capacity.</w:t>
      </w:r>
    </w:p>
    <w:p>
      <w:r>
        <w:t xml:space="preserve">I certify under PENALTY OF PERJURY under the laws of the State of </w:t>
      </w:r>
      <w:r>
        <w:t>[State]</w:t>
      </w:r>
      <w:r>
        <w:t xml:space="preserve"> that the foregoing paragraph is true and correct.</w:t>
      </w:r>
    </w:p>
    <w:p>
      <w:r>
        <w:t>Document version: 2026-05-15 (v1.0). Industry-standard commercial form; structural framework parallels AIA Document A103 (Standard Form of Agreement Between Owner and Contractor where the basis of payment is the Cost of the Work Plus a Fee without a Guaranteed Maximum Price) without reproducing the AIA copyrighted form.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