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A Guaranteed Maximum Price (GMP) agreement is a substantive commercial contract with risk allocation that differs materially from a lump-sum agreement. Key risk-allocation provisions — the definition of Cost of the Work (what is reimbursable), the contractor's contingency, the savings-sharing formula, the GMP-conversion process from preconstruction services, audit rights, treatment of allowances, and the buy-out gain/loss treatment — vary significantly across markets and project types. The framework below mirrors industry-standard practice and the structural pattern of AIA Document A102 / A133 (Standard Form of Agreement Between Owner and Contractor for a Cost-Plus-Fee with a Guaranteed Maximum Price) without reproducing AIA's copyrighted form verbatim. </w:t>
      </w:r>
      <w:r>
        <w:rPr>
          <w:b/>
        </w:rPr>
        <w:t>This is a starting template only.</w:t>
      </w:r>
      <w:r>
        <w:t xml:space="preserve"> Have construction counsel licensed in the state of the project review every GMP Agreement before first use, on each new project type, and on any material change to the contractor's preconstruction-services capabilities or buy-out approach.</w:t>
        <w:br/>
        <w:t xml:space="preserve">        </w:t>
      </w:r>
    </w:p>
    <w:p>
      <w:pPr>
        <w:pStyle w:val="ListNumber"/>
      </w:pPr>
      <w:r>
        <w:t>Parties &amp; Recitals</w:t>
      </w:r>
    </w:p>
    <w:p>
      <w:pPr>
        <w:pStyle w:val="ListNumber"/>
      </w:pPr>
      <w:r>
        <w:t>Article 1 — Contract Documents</w:t>
      </w:r>
    </w:p>
    <w:p>
      <w:pPr>
        <w:pStyle w:val="ListNumber"/>
      </w:pPr>
      <w:r>
        <w:t>Article 2 — Preconstruction Services</w:t>
      </w:r>
    </w:p>
    <w:p>
      <w:pPr>
        <w:pStyle w:val="ListNumber"/>
      </w:pPr>
      <w:r>
        <w:t>Article 3 — Construction Phase Services</w:t>
      </w:r>
    </w:p>
    <w:p>
      <w:pPr>
        <w:pStyle w:val="ListNumber"/>
      </w:pPr>
      <w:r>
        <w:t>Article 4 — Guaranteed Maximum Price (GMP)</w:t>
      </w:r>
    </w:p>
    <w:p>
      <w:pPr>
        <w:pStyle w:val="ListNumber"/>
      </w:pPr>
      <w:r>
        <w:t>Article 5 — Cost of the Work — What's Reimbursable</w:t>
      </w:r>
    </w:p>
    <w:p>
      <w:pPr>
        <w:pStyle w:val="ListNumber"/>
      </w:pPr>
      <w:r>
        <w:t>Article 6 — Costs NOT to be Reimbursed</w:t>
      </w:r>
    </w:p>
    <w:p>
      <w:pPr>
        <w:pStyle w:val="ListNumber"/>
      </w:pPr>
      <w:r>
        <w:t>Article 7 — Contractor's Fee</w:t>
      </w:r>
    </w:p>
    <w:p>
      <w:pPr>
        <w:pStyle w:val="ListNumber"/>
      </w:pPr>
      <w:r>
        <w:t>Article 8 — Contractor's Contingency</w:t>
      </w:r>
    </w:p>
    <w:p>
      <w:pPr>
        <w:pStyle w:val="ListNumber"/>
      </w:pPr>
      <w:r>
        <w:t>Article 9 — Allowances within the GMP</w:t>
      </w:r>
    </w:p>
    <w:p>
      <w:pPr>
        <w:pStyle w:val="ListNumber"/>
      </w:pPr>
      <w:r>
        <w:t>Article 10 — Changes in the Work — GMP Adjustments</w:t>
      </w:r>
    </w:p>
    <w:p>
      <w:pPr>
        <w:pStyle w:val="ListNumber"/>
      </w:pPr>
      <w:r>
        <w:t>Article 11 — Payment</w:t>
      </w:r>
    </w:p>
    <w:p>
      <w:pPr>
        <w:pStyle w:val="ListNumber"/>
      </w:pPr>
      <w:r>
        <w:t>Article 12 — Subcontractor Buy-Out (Bidding) Gain or Loss</w:t>
      </w:r>
    </w:p>
    <w:p>
      <w:pPr>
        <w:pStyle w:val="ListNumber"/>
      </w:pPr>
      <w:r>
        <w:t>Article 13 — Open Book Accounting + Audit Rights</w:t>
      </w:r>
    </w:p>
    <w:p>
      <w:pPr>
        <w:pStyle w:val="ListNumber"/>
      </w:pPr>
      <w:r>
        <w:t>Article 14 — Savings Sharing</w:t>
      </w:r>
    </w:p>
    <w:p>
      <w:pPr>
        <w:pStyle w:val="ListNumber"/>
      </w:pPr>
      <w:r>
        <w:t>Article 15 — Other Terms (incorporated from Master Conditions)</w:t>
      </w:r>
    </w:p>
    <w:p>
      <w:pPr>
        <w:pStyle w:val="ListNumber"/>
      </w:pPr>
      <w:r>
        <w:t>Signatures &amp; Notary</w:t>
      </w:r>
    </w:p>
    <w:p>
      <w:r>
        <w:t xml:space="preserve">This GUARANTEED MAXIMUM PRICE AGREEMENT (the "Agreement") is made and entered into as of </w:t>
      </w:r>
      <w:r>
        <w:t>[Effective Date]</w:t>
      </w:r>
      <w:r>
        <w:t xml:space="preserve"> between:</w:t>
      </w:r>
    </w:p>
    <w:tbl>
      <w:tblPr>
        <w:tblStyle w:val="LightGrid-Accent1"/>
        <w:tblW w:type="auto" w:w="0"/>
        <w:tblLook w:firstColumn="1" w:firstRow="1" w:lastColumn="0" w:lastRow="0" w:noHBand="0" w:noVBand="1" w:val="04A0"/>
      </w:tblPr>
      <w:tblGrid>
        <w:gridCol w:w="4320"/>
        <w:gridCol w:w="4320"/>
      </w:tblGrid>
      <w:tr>
        <w:tc>
          <w:tcPr>
            <w:tcW w:type="dxa" w:w="4320"/>
          </w:tcPr>
          <w:p>
            <w:r>
              <w:t>OWNER:</w:t>
            </w:r>
          </w:p>
        </w:tc>
        <w:tc>
          <w:tcPr>
            <w:tcW w:type="dxa" w:w="4320"/>
          </w:tcPr>
          <w:p>
            <w:r>
              <w:t>[Owner Legal Name]a[State][Entity Type][Address]</w:t>
            </w:r>
          </w:p>
        </w:tc>
      </w:tr>
      <w:tr>
        <w:tc>
          <w:tcPr>
            <w:tcW w:type="dxa" w:w="4320"/>
          </w:tcPr>
          <w:p>
            <w:r>
              <w:t>CONTRACTOR:</w:t>
            </w:r>
          </w:p>
        </w:tc>
        <w:tc>
          <w:tcPr>
            <w:tcW w:type="dxa" w:w="4320"/>
          </w:tcPr>
          <w:p>
            <w:r>
              <w:t>[GC Legal Name]a[State][Entity Type][Address]Contractor License No.:[State License #]</w:t>
            </w:r>
          </w:p>
        </w:tc>
      </w:tr>
      <w:tr>
        <w:tc>
          <w:tcPr>
            <w:tcW w:type="dxa" w:w="4320"/>
          </w:tcPr>
          <w:p>
            <w:r>
              <w:t>ARCHITECT (if separately retained by Owner):</w:t>
            </w:r>
          </w:p>
        </w:tc>
        <w:tc>
          <w:tcPr>
            <w:tcW w:type="dxa" w:w="4320"/>
          </w:tcPr>
          <w:p>
            <w:r>
              <w:t>[Architect firm name][Address]</w:t>
            </w:r>
          </w:p>
        </w:tc>
      </w:tr>
    </w:tbl>
    <w:p>
      <w:r>
        <w:rPr>
          <w:b/>
        </w:rPr>
        <w:t>Recitals.</w:t>
      </w:r>
    </w:p>
    <w:p>
      <w:r>
        <w:t>A. Owner intends to construct the project described in Exhibit A (the "Project") at the location identified therein.</w:t>
      </w:r>
    </w:p>
    <w:p>
      <w:r>
        <w:t>B. Owner desires to engage Contractor to provide both (i) Preconstruction Services during the design phase to advise on constructibility, value engineering, scheduling, procurement, and cost estimating; and (ii) Construction Phase Services to perform the construction of the Project on a cost-plus-fee basis subject to a Guaranteed Maximum Price.</w:t>
      </w:r>
    </w:p>
    <w:p>
      <w:r>
        <w:t>C. Contractor desires to provide both Preconstruction Services and Construction Phase Services on the terms set forth in this Agreement.</w:t>
      </w:r>
    </w:p>
    <w:p>
      <w:r>
        <w:t>D. The parties contemplate a two-phase engagement: Preconstruction Services begin upon execution of this Agreement at the Preconstruction Services Fee set forth in Article 2; Construction Phase Services begin upon execution of a GMP Amendment establishing the Guaranteed Maximum Price, the Schedule, and the Construction Phase Fee, all developed during the Preconstruction phase.</w:t>
      </w:r>
    </w:p>
    <w:p>
      <w:r>
        <w:rPr>
          <w:b/>
        </w:rPr>
        <w:t>NOW, THEREFORE,</w:t>
      </w:r>
      <w:r>
        <w:t xml:space="preserve"> in consideration of the mutual covenants and promises set forth herein, the parties agree as follows.</w:t>
      </w:r>
    </w:p>
    <w:p>
      <w:r>
        <w:t>1.1 Components.</w:t>
      </w:r>
      <w:r>
        <w:t xml:space="preserve"> The Contract Documents consist of: (a) this Agreement; (b) the GMP Amendment, when executed; (c) the General Conditions of the Contract for Construction (Exhibit B, incorporating an industry-standard general-conditions form or such other general conditions as the parties expressly adopt); (d) the Drawings and Specifications for the Project (each addendum, modification, and as-bid set identified by date); (e) all Change Orders executed pursuant to this Agreement; (f) any other documents expressly identified in the GMP Amendment as Contract Documents.</w:t>
      </w:r>
    </w:p>
    <w:p>
      <w:r>
        <w:t>1.2 Order of Precedence.</w:t>
      </w:r>
      <w:r>
        <w:t xml:space="preserve"> In the event of conflict among the Contract Documents, the order of precedence is: (a) any Change Order executed after the GMP Amendment, in reverse chronological order; (b) the GMP Amendment; (c) this Agreement; (d) the General Conditions; (e) the Specifications; (f) the Drawings; (g) other Contract Documents in the order identified in the GMP Amendment.</w:t>
      </w:r>
    </w:p>
    <w:p>
      <w:r>
        <w:t>1.3 Two-Phase Structure.</w:t>
      </w:r>
      <w:r>
        <w:t xml:space="preserve"> This Agreement is structured in two phases: the Preconstruction Phase (Article 2) and the Construction Phase (Article 3). The transition from Preconstruction to Construction occurs upon the execution of the GMP Amendment (Article 4). Until the GMP Amendment is executed, Contractor's services and compensation are limited to Preconstruction Services as defined in Article 2.</w:t>
      </w:r>
    </w:p>
    <w:p>
      <w:r>
        <w:t>2.1 Scope of Preconstruction Services.</w:t>
      </w:r>
      <w:r>
        <w:t xml:space="preserve"> During the Preconstruction Phase, Contractor shall provide the following services:</w:t>
      </w:r>
    </w:p>
    <w:p>
      <w:pPr>
        <w:pStyle w:val="ListBullet"/>
      </w:pPr>
      <w:r>
        <w:t>Constructibility review of the design as it develops, including identification of conflicts among trades, value-engineering opportunities, and means/methods recommendations</w:t>
      </w:r>
    </w:p>
    <w:p>
      <w:pPr>
        <w:pStyle w:val="ListBullet"/>
      </w:pPr>
      <w:r>
        <w:t>Cost estimating at major design milestones (typically Schematic Design, Design Development, 50% Construction Documents, 95% Construction Documents)</w:t>
      </w:r>
    </w:p>
    <w:p>
      <w:pPr>
        <w:pStyle w:val="ListBullet"/>
      </w:pPr>
      <w:r>
        <w:t>Value-engineering proposals with supporting cost analysis at each estimating milestone</w:t>
      </w:r>
    </w:p>
    <w:p>
      <w:pPr>
        <w:pStyle w:val="ListBullet"/>
      </w:pPr>
      <w:r>
        <w:t>Scheduling — preliminary CPM schedule development; identification of long-lead procurement items; phasing strategy</w:t>
      </w:r>
    </w:p>
    <w:p>
      <w:pPr>
        <w:pStyle w:val="ListBullet"/>
      </w:pPr>
      <w:r>
        <w:t>Procurement planning — bid-package strategy, subcontractor pre-qualification, identification of long-lead items requiring early procurement</w:t>
      </w:r>
    </w:p>
    <w:p>
      <w:pPr>
        <w:pStyle w:val="ListBullet"/>
      </w:pPr>
      <w:r>
        <w:t>Subcontractor buy-out — preparation of bid packages by trade, solicitation of bids, bid analysis, recommendation of subcontractors</w:t>
      </w:r>
    </w:p>
    <w:p>
      <w:pPr>
        <w:pStyle w:val="ListBullet"/>
      </w:pPr>
      <w:r>
        <w:t>GMP development — preparation of the proposed Guaranteed Maximum Price based on the bid-out subcontracts, the Cost of the Work projection, the Contractor's Contingency, and the Construction Phase Fee</w:t>
      </w:r>
    </w:p>
    <w:p>
      <w:pPr>
        <w:pStyle w:val="ListBullet"/>
      </w:pPr>
      <w:r>
        <w:t>Other preconstruction services reasonably required by the Project</w:t>
      </w:r>
    </w:p>
    <w:p>
      <w:r>
        <w:t>2.2 Preconstruction Services Fee.</w:t>
      </w:r>
      <w:r>
        <w:t xml:space="preserve"> Owner shall pay Contractor for Preconstruction Services on the basis stated in the GMP Amendment, which shall be one of: (a) a fixed lump-sum amount of $</w:t>
      </w:r>
      <w:r>
        <w:t>[Amount]</w:t>
      </w:r>
      <w:r>
        <w:t>; (b) a not-to-exceed amount of $</w:t>
      </w:r>
      <w:r>
        <w:t>[Amount]</w:t>
      </w:r>
      <w:r>
        <w:t xml:space="preserve"> billed against actual hours at the rates set forth in Exhibit C (Schedule of Hourly Rates); or (c) such other basis as the parties agree. Preconstruction Services Fee is paid monthly during the Preconstruction Phase and is independent of (and not credited against) the Construction Phase Fee.</w:t>
      </w:r>
    </w:p>
    <w:p>
      <w:r>
        <w:t>2.3 Preconstruction Phase Duration.</w:t>
      </w:r>
      <w:r>
        <w:t xml:space="preserve"> The Preconstruction Phase begins on the Effective Date and continues until the earlier of: (a) execution of the GMP Amendment; (b) Owner's written termination of Preconstruction Services; or (c) the date specified in the GMP Amendment.</w:t>
      </w:r>
    </w:p>
    <w:p>
      <w:r>
        <w:t>2.4 Owner's Right Not to Proceed.</w:t>
      </w:r>
      <w:r>
        <w:t xml:space="preserve"> If Owner determines, after receipt of any GMP proposal from Contractor, not to proceed with the Construction Phase, Owner may terminate this Agreement upon thirty (30) days' written notice to Contractor. In such event, Owner's sole obligation is to pay Contractor the unpaid balance of the Preconstruction Services Fee through the date of termination. Contractor shall have no claim for lost profits or anticipated Construction Phase Fee.</w:t>
      </w:r>
    </w:p>
    <w:p>
      <w:r>
        <w:t>3.1 Construction Phase Scope.</w:t>
      </w:r>
      <w:r>
        <w:t xml:space="preserve"> Construction Phase Services begin upon execution of the GMP Amendment and consist of constructing the Project in accordance with the Contract Documents. Contractor shall furnish all labor, materials, equipment, supervision, and other items necessary to complete the Project in strict accordance with the Contract Documents.</w:t>
      </w:r>
    </w:p>
    <w:p>
      <w:r>
        <w:t>3.2 Date of Commencement.</w:t>
      </w:r>
      <w:r>
        <w:t xml:space="preserve"> The Date of Commencement of the Construction Phase is the date stated in the GMP Amendment, or such later date as the parties may establish by written agreement.</w:t>
      </w:r>
    </w:p>
    <w:p>
      <w:r>
        <w:t>3.3 Contract Time.</w:t>
      </w:r>
      <w:r>
        <w:t xml:space="preserve"> Substantial Completion shall be achieved no later than the date stated in the GMP Amendment, subject to adjustment by Change Order under Article 10.</w:t>
      </w:r>
    </w:p>
    <w:p>
      <w:r>
        <w:t>3.4 Contractor's Performance Obligations.</w:t>
      </w:r>
      <w:r>
        <w:t xml:space="preserve"> Contractor's performance obligations include all of the obligations applicable to a contractor under the General Conditions, including without limitation: (a) supervision and direction of the Work; (b) labor, materials, equipment, and services; (c) compliance with laws and regulations; (d) safety; (e) protection of persons and property; (f) coordination with the Architect and the Owner's other consultants; (g) maintenance of project records.</w:t>
      </w:r>
    </w:p>
    <w:p>
      <w:r>
        <w:t>4.1 GMP — The Cap on Owner's Total Cost.</w:t>
      </w:r>
      <w:r>
        <w:t xml:space="preserve"> The Guaranteed Maximum Price (the "GMP") is the maximum total amount that Owner is obligated to pay Contractor for the Construction Phase Services, including all Cost of the Work (Article 5), the Contractor's Contingency (Article 8), the Allowances (Article 9), and the Contractor's Construction Phase Fee (Article 7), but subject to adjustment by Change Order in accordance with Article 10. </w:t>
      </w:r>
      <w:r>
        <w:rPr>
          <w:b/>
        </w:rPr>
        <w:t>Contractor bears the risk that the actual Cost of the Work plus the Construction Phase Fee will exceed the GMP, except as expressly provided in this Agreement.</w:t>
      </w:r>
    </w:p>
    <w:p>
      <w:r>
        <w:t>4.2 GMP Amount.</w:t>
      </w:r>
      <w:r>
        <w:t xml:space="preserve"> The GMP is established in the GMP Amendment in the amount of $</w:t>
      </w:r>
      <w:r>
        <w:t>[GMP Amount]</w:t>
      </w:r>
      <w:r>
        <w:t>, comprising:</w:t>
      </w:r>
    </w:p>
    <w:tbl>
      <w:tblPr>
        <w:tblStyle w:val="LightGrid-Accent1"/>
        <w:tblW w:type="auto" w:w="0"/>
        <w:tblLook w:firstColumn="1" w:firstRow="1" w:lastColumn="0" w:lastRow="0" w:noHBand="0" w:noVBand="1" w:val="04A0"/>
      </w:tblPr>
      <w:tblGrid>
        <w:gridCol w:w="4320"/>
        <w:gridCol w:w="4320"/>
      </w:tblGrid>
      <w:tr>
        <w:tc>
          <w:tcPr>
            <w:tcW w:type="dxa" w:w="4320"/>
          </w:tcPr>
          <w:p>
            <w:r>
              <w:t>Estimated Cost of the Work (Article 5)</w:t>
            </w:r>
          </w:p>
        </w:tc>
        <w:tc>
          <w:tcPr>
            <w:tcW w:type="dxa" w:w="4320"/>
          </w:tcPr>
          <w:p>
            <w:r>
              <w:t>$[Amount]</w:t>
            </w:r>
          </w:p>
        </w:tc>
      </w:tr>
      <w:tr>
        <w:tc>
          <w:tcPr>
            <w:tcW w:type="dxa" w:w="4320"/>
          </w:tcPr>
          <w:p>
            <w:r>
              <w:t>Allowances within the GMP (Article 9 — itemized)</w:t>
            </w:r>
          </w:p>
        </w:tc>
        <w:tc>
          <w:tcPr>
            <w:tcW w:type="dxa" w:w="4320"/>
          </w:tcPr>
          <w:p>
            <w:r>
              <w:t>$[Amount]</w:t>
            </w:r>
          </w:p>
        </w:tc>
      </w:tr>
      <w:tr>
        <w:tc>
          <w:tcPr>
            <w:tcW w:type="dxa" w:w="4320"/>
          </w:tcPr>
          <w:p>
            <w:r>
              <w:t>Contractor's Contingency (Article 8)</w:t>
            </w:r>
          </w:p>
        </w:tc>
        <w:tc>
          <w:tcPr>
            <w:tcW w:type="dxa" w:w="4320"/>
          </w:tcPr>
          <w:p>
            <w:r>
              <w:t>$[Amount]</w:t>
            </w:r>
          </w:p>
        </w:tc>
      </w:tr>
      <w:tr>
        <w:tc>
          <w:tcPr>
            <w:tcW w:type="dxa" w:w="4320"/>
          </w:tcPr>
          <w:p>
            <w:r>
              <w:t>Contractor's Construction Phase Fee (Article 7)</w:t>
            </w:r>
          </w:p>
        </w:tc>
        <w:tc>
          <w:tcPr>
            <w:tcW w:type="dxa" w:w="4320"/>
          </w:tcPr>
          <w:p>
            <w:r>
              <w:t>$[Amount]</w:t>
            </w:r>
          </w:p>
        </w:tc>
      </w:tr>
      <w:tr>
        <w:tc>
          <w:tcPr>
            <w:tcW w:type="dxa" w:w="4320"/>
          </w:tcPr>
          <w:p>
            <w:r>
              <w:t>GUARANTEED MAXIMUM PRICE (GMP)</w:t>
            </w:r>
          </w:p>
        </w:tc>
        <w:tc>
          <w:tcPr>
            <w:tcW w:type="dxa" w:w="4320"/>
          </w:tcPr>
          <w:p>
            <w:r>
              <w:t>$[Total GMP]</w:t>
            </w:r>
          </w:p>
        </w:tc>
      </w:tr>
    </w:tbl>
    <w:p>
      <w:r>
        <w:t>4.3 What the GMP Includes.</w:t>
      </w:r>
      <w:r>
        <w:t xml:space="preserve"> The GMP includes all Cost of the Work properly chargeable under Article 5 (including all subcontracted work, materials, equipment, labor with burdens, and General Conditions costs), the Contractor's Contingency, the Allowances, and the Construction Phase Fee. Owner will pay no more than the GMP for the scope identified in the Contract Documents, except as adjusted by executed Change Orders.</w:t>
      </w:r>
    </w:p>
    <w:p>
      <w:r>
        <w:t>4.4 GMP Assumptions and Clarifications.</w:t>
      </w:r>
      <w:r>
        <w:t xml:space="preserve"> The GMP is established on the basis of the Drawings, Specifications, addenda, and clarifications listed in the GMP Amendment as of the date of GMP execution. Subsequent design changes, drawing revisions, addenda, or owner-directed changes that affect the scope, cost, or schedule of the Work are addressed by Change Order under Article 10 and may adjust the GMP.</w:t>
      </w:r>
    </w:p>
    <w:p>
      <w:r>
        <w:t>4.5 Documentation Supporting the GMP.</w:t>
      </w:r>
      <w:r>
        <w:t xml:space="preserve"> The GMP Amendment shall include the following documentation supporting the GMP:</w:t>
      </w:r>
    </w:p>
    <w:p>
      <w:pPr>
        <w:pStyle w:val="ListBullet"/>
      </w:pPr>
      <w:r>
        <w:t>List of Drawings, Specifications, addenda, and clarifications used to establish the GMP, identified by date and revision</w:t>
      </w:r>
    </w:p>
    <w:p>
      <w:pPr>
        <w:pStyle w:val="ListBullet"/>
      </w:pPr>
      <w:r>
        <w:t>List of Allowances within the GMP, with the amount and scope of each</w:t>
      </w:r>
    </w:p>
    <w:p>
      <w:pPr>
        <w:pStyle w:val="ListBullet"/>
      </w:pPr>
      <w:r>
        <w:t>List of qualifications, exclusions, and assumptions made in establishing the GMP</w:t>
      </w:r>
    </w:p>
    <w:p>
      <w:pPr>
        <w:pStyle w:val="ListBullet"/>
      </w:pPr>
      <w:r>
        <w:t>Detailed cost estimate by CSI division supporting the Estimated Cost of the Work</w:t>
      </w:r>
    </w:p>
    <w:p>
      <w:pPr>
        <w:pStyle w:val="ListBullet"/>
      </w:pPr>
      <w:r>
        <w:t>List of major subcontract bid packages and the bid amounts received</w:t>
      </w:r>
    </w:p>
    <w:p>
      <w:pPr>
        <w:pStyle w:val="ListBullet"/>
      </w:pPr>
      <w:r>
        <w:t>Schedule of long-lead procurement items and their lead times</w:t>
      </w:r>
    </w:p>
    <w:p>
      <w:pPr>
        <w:pStyle w:val="ListBullet"/>
      </w:pPr>
      <w:r>
        <w:t>Project schedule reflecting the Date of Commencement and Substantial Completion</w:t>
      </w:r>
    </w:p>
    <w:p>
      <w:r>
        <w:t>"Cost of the Work" means costs necessarily incurred by Contractor in proper performance of the Work, paid by Contractor, and reimbursable as set forth below. Cost of the Work shall not include any costs identified in Article 6 as not reimbursable.</w:t>
      </w:r>
    </w:p>
    <w:p>
      <w:r>
        <w:t>5.1 Labor Costs.</w:t>
      </w:r>
      <w:r>
        <w:t xml:space="preserve"> Wages of construction workers directly employed by Contractor to perform the Work (foremen, journeymen, apprentices, laborers), at actual rates including:</w:t>
      </w:r>
    </w:p>
    <w:p>
      <w:pPr>
        <w:pStyle w:val="ListBullet"/>
      </w:pPr>
      <w:r>
        <w:t>Hourly wage at actual paid rate</w:t>
      </w:r>
    </w:p>
    <w:p>
      <w:pPr>
        <w:pStyle w:val="ListBullet"/>
      </w:pPr>
      <w:r>
        <w:t>Payroll taxes (FICA, Medicare, federal/state unemployment)</w:t>
      </w:r>
    </w:p>
    <w:p>
      <w:pPr>
        <w:pStyle w:val="ListBullet"/>
      </w:pPr>
      <w:r>
        <w:t>Workers' compensation insurance premiums (at actual experience-modified rate)</w:t>
      </w:r>
    </w:p>
    <w:p>
      <w:pPr>
        <w:pStyle w:val="ListBullet"/>
      </w:pPr>
      <w:r>
        <w:t>Health, welfare, pension, and other fringe benefits provided pursuant to collective bargaining agreement or company policy</w:t>
      </w:r>
    </w:p>
    <w:p>
      <w:pPr>
        <w:pStyle w:val="ListBullet"/>
      </w:pPr>
      <w:r>
        <w:t>Vacation and holiday pay accrued during performance of the Work</w:t>
      </w:r>
    </w:p>
    <w:p>
      <w:pPr>
        <w:pStyle w:val="ListBullet"/>
      </w:pPr>
      <w:r>
        <w:t>Per diem, lodging, and travel reimbursement for workers required to travel to the Project</w:t>
      </w:r>
    </w:p>
    <w:p>
      <w:r>
        <w:t>Cost of the Work does NOT include the salaries of Contractor's executive officers, principal members, or general office staff except as expressly identified in Section 5.2 (project-site staff).</w:t>
      </w:r>
    </w:p>
    <w:p>
      <w:r>
        <w:t>5.2 Project-Site Staff.</w:t>
      </w:r>
      <w:r>
        <w:t xml:space="preserve"> Salaries and burdens of Contractor's project-site staff, including project manager, project superintendent, assistant superintendents, project engineer, project accountant, safety officer, and other on-site supervisory and administrative personnel, in proportion to the time devoted to the Project. The General Conditions Schedule (Exhibit D) identifies the project-site staff positions, the planned monthly hours, and the burdened cost rates included in the GMP.</w:t>
      </w:r>
    </w:p>
    <w:p>
      <w:r>
        <w:t>5.3 Subcontract Costs.</w:t>
      </w:r>
      <w:r>
        <w:t xml:space="preserve"> Payments to Subcontractors for Work performed pursuant to subcontracts entered into in accordance with this Agreement.</w:t>
      </w:r>
    </w:p>
    <w:p>
      <w:r>
        <w:t>5.4 Material and Equipment Costs.</w:t>
      </w:r>
      <w:r>
        <w:t xml:space="preserve"> Costs (including transportation and storage) of materials and equipment incorporated or to be incorporated in the completed Construction. Discounts, rebates, and refunds shall accrue to Owner — Contractor shall make reasonable efforts to obtain available trade discounts.</w:t>
      </w:r>
    </w:p>
    <w:p>
      <w:r>
        <w:t>5.5 Construction Equipment, Tools, and Temporary Facilities.</w:t>
      </w:r>
      <w:r>
        <w:t xml:space="preserve"> Costs of construction equipment used in the performance of the Work, whether rented from third parties or owned by Contractor (at rental rates not to exceed prevailing local rental rates for similar equipment); rental costs of small tools and consumables; cost of temporary site utilities, temporary fencing, temporary office trailers, dumpster service.</w:t>
      </w:r>
    </w:p>
    <w:p>
      <w:r>
        <w:t>5.6 Other Costs.</w:t>
      </w:r>
      <w:r>
        <w:t xml:space="preserve"> Permit fees, royalties, and licenses required for the Work; sales, use, and similar taxes related to the Work; cost of removal of debris from the site; cost of testing required by the Contract Documents; cost of bonds required by the Contract Documents (premium reimbursable as a separate line item); insurance premiums for project-specific insurance (builder's risk, project-specific GL, etc.); legal costs related to defending claims arising out of the Work (with Owner's prior consent for non-routine matters).</w:t>
      </w:r>
    </w:p>
    <w:p>
      <w:r>
        <w:t>5.7 Emergency Costs.</w:t>
      </w:r>
      <w:r>
        <w:t xml:space="preserve"> Costs incurred in taking action to prevent threatened damage, injury, or loss in case of an emergency affecting the safety of persons or property, provided Contractor gives Owner notice as soon as reasonably practicable.</w:t>
      </w:r>
    </w:p>
    <w:p>
      <w:r>
        <w:t>The following costs are NOT included in Cost of the Work and shall be borne by Contractor out of its Construction Phase Fee:</w:t>
      </w:r>
    </w:p>
    <w:p>
      <w:pPr>
        <w:pStyle w:val="ListBullet"/>
      </w:pPr>
      <w:r>
        <w:t>Salaries of Contractor's executive officers, principals, members, partners, and general office staff (except project-site staff per Section 5.2)</w:t>
      </w:r>
    </w:p>
    <w:p>
      <w:pPr>
        <w:pStyle w:val="ListBullet"/>
      </w:pPr>
      <w:r>
        <w:t>Expenses of Contractor's principal office and branch offices not located at the Project (rent, utilities, office supplies, IT, telephone, insurance not project-specific)</w:t>
      </w:r>
    </w:p>
    <w:p>
      <w:pPr>
        <w:pStyle w:val="ListBullet"/>
      </w:pPr>
      <w:r>
        <w:t>Capital expenses including interest on Contractor's capital used for the Work</w:t>
      </w:r>
    </w:p>
    <w:p>
      <w:pPr>
        <w:pStyle w:val="ListBullet"/>
      </w:pPr>
      <w:r>
        <w:t>Profit on Contractor's own forces (covered by Construction Phase Fee, not double-billed as Cost of the Work)</w:t>
      </w:r>
    </w:p>
    <w:p>
      <w:pPr>
        <w:pStyle w:val="ListBullet"/>
      </w:pPr>
      <w:r>
        <w:t>Costs that would cause the GMP to be exceeded — Contractor shall absorb such costs unless they qualify for a Change Order under Article 10</w:t>
      </w:r>
    </w:p>
    <w:p>
      <w:pPr>
        <w:pStyle w:val="ListBullet"/>
      </w:pPr>
      <w:r>
        <w:t>Costs arising from Contractor's default or breach</w:t>
      </w:r>
    </w:p>
    <w:p>
      <w:pPr>
        <w:pStyle w:val="ListBullet"/>
      </w:pPr>
      <w:r>
        <w:t>Costs of correcting Defective Work, except to the extent the Defective Work is caused by Owner-furnished materials or owner-directed methods</w:t>
      </w:r>
    </w:p>
    <w:p>
      <w:pPr>
        <w:pStyle w:val="ListBullet"/>
      </w:pPr>
      <w:r>
        <w:t>Costs incurred for unsafe practices or violations of applicable laws / regulations attributable to Contractor's negligence</w:t>
      </w:r>
    </w:p>
    <w:p>
      <w:pPr>
        <w:pStyle w:val="ListBullet"/>
      </w:pPr>
      <w:r>
        <w:t>Cost of insurance premiums for Contractor's general business insurance not project-specific</w:t>
      </w:r>
    </w:p>
    <w:p>
      <w:pPr>
        <w:pStyle w:val="ListBullet"/>
      </w:pPr>
      <w:r>
        <w:t>Legal costs for defending or prosecuting claims by or against Contractor arising out of Contractor's default or breach</w:t>
      </w:r>
    </w:p>
    <w:p>
      <w:pPr>
        <w:pStyle w:val="ListBullet"/>
      </w:pPr>
      <w:r>
        <w:t>Costs incurred in completing the Project after Owner's termination of Contractor for default</w:t>
      </w:r>
    </w:p>
    <w:p>
      <w:r>
        <w:t>7.1 Construction Phase Fee.</w:t>
      </w:r>
      <w:r>
        <w:t xml:space="preserve"> Owner shall pay Contractor a Construction Phase Fee in the amount stated in the GMP Amendment, which shall be one of:</w:t>
      </w:r>
    </w:p>
    <w:p>
      <w:pPr>
        <w:pStyle w:val="ListBullet"/>
      </w:pPr>
      <w:r>
        <w:rPr>
          <w:b/>
        </w:rPr>
        <w:t>Fixed Fee.</w:t>
      </w:r>
      <w:r>
        <w:t xml:space="preserve"> A fixed dollar amount of $</w:t>
      </w:r>
      <w:r>
        <w:t>[Amount]</w:t>
      </w:r>
      <w:r>
        <w:t>, payable in monthly installments proportional to the percent complete of the Cost of the Work.</w:t>
      </w:r>
    </w:p>
    <w:p>
      <w:pPr>
        <w:pStyle w:val="ListBullet"/>
      </w:pPr>
      <w:r>
        <w:rPr>
          <w:b/>
        </w:rPr>
        <w:t>Percentage Fee.</w:t>
      </w:r>
      <w:r>
        <w:t xml:space="preserve"> A fee equal to </w:t>
      </w:r>
      <w:r>
        <w:t>[X%]</w:t>
      </w:r>
      <w:r>
        <w:t xml:space="preserve"> of the Cost of the Work as defined in Article 5, payable monthly with each Application for Payment, and adjusted as the Cost of the Work is finalized at Substantial Completion.</w:t>
      </w:r>
    </w:p>
    <w:p>
      <w:pPr>
        <w:pStyle w:val="ListBullet"/>
      </w:pPr>
      <w:r>
        <w:rPr>
          <w:b/>
        </w:rPr>
        <w:t>Hybrid.</w:t>
      </w:r>
      <w:r>
        <w:t xml:space="preserve"> A combination of fixed and percentage components, as detailed in the GMP Amendment.</w:t>
      </w:r>
    </w:p>
    <w:p>
      <w:r>
        <w:t>7.2 Fee Adjustment for Change Orders.</w:t>
      </w:r>
      <w:r>
        <w:t xml:space="preserve"> Each Change Order that adjusts the GMP also adjusts the Construction Phase Fee proportionally — additive Change Orders increase the Fee by </w:t>
      </w:r>
      <w:r>
        <w:t>[the same percentage rate as the original Fee]</w:t>
      </w:r>
      <w:r>
        <w:t>; deductive Change Orders decrease the Fee proportionally. Change Orders for self-performed work are calculated separately at the rates in the GMP Amendment.</w:t>
      </w:r>
    </w:p>
    <w:p>
      <w:r>
        <w:t>7.3 Fee Independent of Cost Performance.</w:t>
      </w:r>
      <w:r>
        <w:t xml:space="preserve"> The Construction Phase Fee is not adjusted based on cost performance — Contractor earns the agreed Fee regardless of whether the actual Cost of the Work comes in under or over the projection (subject to Article 14 savings sharing if under-budget). This is intentional: the Fee compensates Contractor for performance of the Construction Phase services; cost-performance incentives are addressed through the Savings Sharing mechanism in Article 14.</w:t>
      </w:r>
    </w:p>
    <w:p>
      <w:r>
        <w:t>8.1 Contractor's Contingency Within the GMP.</w:t>
      </w:r>
      <w:r>
        <w:t xml:space="preserve"> The GMP includes a Contractor's Contingency in the amount of $</w:t>
      </w:r>
      <w:r>
        <w:t>[Amount]</w:t>
      </w:r>
      <w:r>
        <w:t xml:space="preserve">, equal to </w:t>
      </w:r>
      <w:r>
        <w:t>[5–10%]</w:t>
      </w:r>
      <w:r>
        <w:t xml:space="preserve"> of the Estimated Cost of the Work. The Contingency is intended to address unforeseen costs that arise within the scope of the Contract Documents (in-scope unforeseens) and that do not qualify for a Change Order under Article 10.</w:t>
      </w:r>
    </w:p>
    <w:p>
      <w:r>
        <w:t>8.2 Permitted Uses of Contingency.</w:t>
      </w:r>
      <w:r>
        <w:t xml:space="preserve"> The Contractor may draw on the Contingency for, including without limitation:</w:t>
      </w:r>
    </w:p>
    <w:p>
      <w:pPr>
        <w:pStyle w:val="ListBullet"/>
      </w:pPr>
      <w:r>
        <w:t>Subcontractor or supplier price escalation between GMP execution and procurement (when not otherwise covered by an executed escalation contingency)</w:t>
      </w:r>
    </w:p>
    <w:p>
      <w:pPr>
        <w:pStyle w:val="ListBullet"/>
      </w:pPr>
      <w:r>
        <w:t>Productivity adjustments where actual labor productivity differs from the GMP estimate within reasonable limits</w:t>
      </w:r>
    </w:p>
    <w:p>
      <w:pPr>
        <w:pStyle w:val="ListBullet"/>
      </w:pPr>
      <w:r>
        <w:t>Means and methods adjustments that do not change the scope of Work</w:t>
      </w:r>
    </w:p>
    <w:p>
      <w:pPr>
        <w:pStyle w:val="ListBullet"/>
      </w:pPr>
      <w:r>
        <w:t>Expediting / overtime to recover schedule slip not caused by an Owner-driven delay</w:t>
      </w:r>
    </w:p>
    <w:p>
      <w:pPr>
        <w:pStyle w:val="ListBullet"/>
      </w:pPr>
      <w:r>
        <w:t>Coordination work between trades that exceeds the original assumption</w:t>
      </w:r>
    </w:p>
    <w:p>
      <w:pPr>
        <w:pStyle w:val="ListBullet"/>
      </w:pPr>
      <w:r>
        <w:t>Material waste / re-orders within reasonable industry tolerances</w:t>
      </w:r>
    </w:p>
    <w:p>
      <w:pPr>
        <w:pStyle w:val="ListBullet"/>
      </w:pPr>
      <w:r>
        <w:t>Replacement of damaged materials or equipment when not covered by builder's risk insurance</w:t>
      </w:r>
    </w:p>
    <w:p>
      <w:pPr>
        <w:pStyle w:val="ListBullet"/>
      </w:pPr>
      <w:r>
        <w:t>Weather-related cost increases not rising to the level of an excusable delay (extra mobilization, weather protection)</w:t>
      </w:r>
    </w:p>
    <w:p>
      <w:r>
        <w:t>8.3 Contingency NOT for Owner-Directed Changes.</w:t>
      </w:r>
      <w:r>
        <w:t xml:space="preserve"> Contractor shall NOT use the Contingency to cover costs that qualify for a Change Order under Article 10 (Owner-directed changes, design errors, differing site conditions, owner-furnished item issues). Such costs are addressed by Change Orders adjusting the GMP, not by Contingency draw-down.</w:t>
      </w:r>
    </w:p>
    <w:p>
      <w:r>
        <w:t>8.4 Contingency Reporting.</w:t>
      </w:r>
      <w:r>
        <w:t xml:space="preserve"> Contractor shall report the status of the Contingency monthly with each Application for Payment, identifying: (a) opening balance for the month; (b) draw-downs during the month with brief description of each (e.g., "Sub price escalation on Division 23 mech package: $12,500"); (c) closing balance; (d) cumulative draw-down and remaining Contingency.</w:t>
      </w:r>
    </w:p>
    <w:p>
      <w:r>
        <w:t>8.5 Owner Approval for Single Draws Over $25,000.</w:t>
      </w:r>
      <w:r>
        <w:t xml:space="preserve"> Individual Contingency draw-downs in excess of $25,000 (or such other threshold as the GMP Amendment establishes) require Owner's prior written approval. The intent is operational visibility, not approval gatekeeping — Owner shall not unreasonably withhold or delay approval of Contingency draws within the permitted uses identified in Section 8.2.</w:t>
      </w:r>
    </w:p>
    <w:p>
      <w:r>
        <w:t>8.6 Unused Contingency at Final Completion.</w:t>
      </w:r>
      <w:r>
        <w:t xml:space="preserve"> Any unused Contractor's Contingency at Final Completion shall be addressed under the Savings Sharing mechanism in Article 14 (i.e., split between Owner and Contractor per the agreed sharing formula).</w:t>
      </w:r>
    </w:p>
    <w:p>
      <w:r>
        <w:t>9.1 Allowances.</w:t>
      </w:r>
      <w:r>
        <w:t xml:space="preserve"> The GMP includes specific Allowances for items where the design is not yet finalized or the cost cannot yet be definitively established. Each Allowance is identified in the GMP Amendment with the dollar amount and the scope to which it applies.</w:t>
      </w:r>
    </w:p>
    <w:p>
      <w:r>
        <w:t>9.2 Allowance Reconciliation.</w:t>
      </w:r>
      <w:r>
        <w:t xml:space="preserve"> When the actual cost of an Allowance item is determined (typically when the relevant subcontract or supply is bought out, or the relevant design selection is made):</w:t>
      </w:r>
    </w:p>
    <w:p>
      <w:pPr>
        <w:pStyle w:val="ListBullet"/>
      </w:pPr>
      <w:r>
        <w:t>If actual cost is less than the Allowance, the Allowance is reduced to actual cost; the GMP is reduced by the difference (which becomes Owner's savings)</w:t>
      </w:r>
    </w:p>
    <w:p>
      <w:pPr>
        <w:pStyle w:val="ListBullet"/>
      </w:pPr>
      <w:r>
        <w:t>If actual cost is more than the Allowance, the Allowance is increased to actual cost; the GMP is increased by the difference via Change Order (which becomes Owner's additional cost)</w:t>
      </w:r>
    </w:p>
    <w:p>
      <w:pPr>
        <w:pStyle w:val="ListBullet"/>
      </w:pPr>
      <w:r>
        <w:t>Contractor's Construction Phase Fee is adjusted proportionally to the Allowance change (additive or deductive)</w:t>
      </w:r>
    </w:p>
    <w:p>
      <w:r>
        <w:t>9.3 Owner's Right to Modify Allowance Scope.</w:t>
      </w:r>
      <w:r>
        <w:t xml:space="preserve"> Owner may modify the design selection within an Allowance scope at any time before procurement; the GMP is adjusted to reflect the actual cost of the selected design as set forth in Section 9.2.</w:t>
      </w:r>
    </w:p>
    <w:p>
      <w:r>
        <w:t>10.1 Change Order Authority.</w:t>
      </w:r>
      <w:r>
        <w:t xml:space="preserve"> Owner may direct changes in the Work by written Change Order signed by Owner. Contractor shall not perform any change in the Work without a written Change Order, except in cases of emergency to protect life or property.</w:t>
      </w:r>
    </w:p>
    <w:p>
      <w:r>
        <w:t>10.2 Effect on GMP.</w:t>
      </w:r>
      <w:r>
        <w:t xml:space="preserve"> Each Change Order adjusts the GMP as follows: (a) Cost of the Work is adjusted by the actual or estimated cost of the changed work; (b) the Contractor's Fee is adjusted proportionally per Section 7.2; (c) the Allowance for the affected work, if any, is reconciled per Article 9; (d) the Contingency is NOT adjusted by Change Order (it remains as established in the GMP Amendment, subject to draw-down per Article 8).</w:t>
      </w:r>
    </w:p>
    <w:p>
      <w:r>
        <w:t>10.3 Pricing of Change Orders.</w:t>
      </w:r>
      <w:r>
        <w:t xml:space="preserve"> Changes shall be priced as follows, in the order of preference stated:</w:t>
      </w:r>
    </w:p>
    <w:p>
      <w:pPr>
        <w:pStyle w:val="ListBullet"/>
      </w:pPr>
      <w:r>
        <w:t>Mutually agreed lump-sum price based on Contractor's Change Order Request</w:t>
      </w:r>
    </w:p>
    <w:p>
      <w:pPr>
        <w:pStyle w:val="ListBullet"/>
      </w:pPr>
      <w:r>
        <w:t>Unit prices stated in the GMP Amendment</w:t>
      </w:r>
    </w:p>
    <w:p>
      <w:pPr>
        <w:pStyle w:val="ListBullet"/>
      </w:pPr>
      <w:r>
        <w:t>Cost of the Work as defined in Article 5, plus the Contractor's Fee at the percentage rate established in Article 7</w:t>
      </w:r>
    </w:p>
    <w:p>
      <w:r>
        <w:t>10.4 Change Order for Owner-Directed Scope Changes.</w:t>
      </w:r>
      <w:r>
        <w:t xml:space="preserve"> Owner-directed scope changes are addressed by Change Order adjusting the GMP. Contractor's Contingency is not used for Owner-directed scope changes.</w:t>
      </w:r>
    </w:p>
    <w:p>
      <w:r>
        <w:t>10.5 Differing Site Conditions.</w:t>
      </w:r>
      <w:r>
        <w:t xml:space="preserve"> Concealed or differing site conditions encountered during the Work that materially differ from those indicated in the Contract Documents or normally encountered for work of this character are addressed by Change Order (not by Contingency draw-down). Contractor shall give written notice promptly upon discovery, and shall not disturb the conditions until Owner has had reasonable opportunity to inspect.</w:t>
      </w:r>
    </w:p>
    <w:p>
      <w:r>
        <w:t>10.6 Design Errors and Owner-Caused Delays.</w:t>
      </w:r>
      <w:r>
        <w:t xml:space="preserve"> Costs arising from design errors, omissions, or owner-caused delays are addressed by Change Order. Contractor's Contingency is not used for these costs.</w:t>
      </w:r>
    </w:p>
    <w:p>
      <w:r>
        <w:t>11.1 Schedule of Values.</w:t>
      </w:r>
      <w:r>
        <w:t xml:space="preserve"> Within 30 days after execution of the GMP Amendment, Contractor shall submit a Schedule of Values allocating the GMP across line items in accordance with industry-standard CSI MasterFormat structure. The Schedule of Values, once accepted by Owner and Architect, governs Application for Payment progress measurement.</w:t>
      </w:r>
    </w:p>
    <w:p>
      <w:r>
        <w:t>11.2 Monthly Application for Payment.</w:t>
      </w:r>
      <w:r>
        <w:t xml:space="preserve"> Contractor shall submit a monthly Application for Payment in form and content reasonably acceptable to Owner and Architect, supported by Continuation Sheet showing line-item progress, and documentation reasonably required to substantiate Cost of the Work. The Application reports:</w:t>
      </w:r>
    </w:p>
    <w:p>
      <w:pPr>
        <w:pStyle w:val="ListBullet"/>
      </w:pPr>
      <w:r>
        <w:t>Cost of the Work performed and stored to date (per Schedule of Values + Continuation Sheet)</w:t>
      </w:r>
    </w:p>
    <w:p>
      <w:pPr>
        <w:pStyle w:val="ListBullet"/>
      </w:pPr>
      <w:r>
        <w:t>Contractor's Fee earned to date (proportional to Cost of the Work or per fixed schedule as the GMP Amendment provides)</w:t>
      </w:r>
    </w:p>
    <w:p>
      <w:pPr>
        <w:pStyle w:val="ListBullet"/>
      </w:pPr>
      <w:r>
        <w:t>Contingency draws to date</w:t>
      </w:r>
    </w:p>
    <w:p>
      <w:pPr>
        <w:pStyle w:val="ListBullet"/>
      </w:pPr>
      <w:r>
        <w:t>Allowance reconciliation to date</w:t>
      </w:r>
    </w:p>
    <w:p>
      <w:pPr>
        <w:pStyle w:val="ListBullet"/>
      </w:pPr>
      <w:r>
        <w:t>Less retainage withheld</w:t>
      </w:r>
    </w:p>
    <w:p>
      <w:pPr>
        <w:pStyle w:val="ListBullet"/>
      </w:pPr>
      <w:r>
        <w:t>Less previous certificates for payment</w:t>
      </w:r>
    </w:p>
    <w:p>
      <w:pPr>
        <w:pStyle w:val="ListBullet"/>
      </w:pPr>
      <w:r>
        <w:t>Current payment due</w:t>
      </w:r>
    </w:p>
    <w:p>
      <w:r>
        <w:t>11.3 Backup Documentation.</w:t>
      </w:r>
      <w:r>
        <w:t xml:space="preserve"> With each Application for Payment, Contractor shall provide such backup documentation as Owner reasonably requests, including:</w:t>
      </w:r>
    </w:p>
    <w:p>
      <w:pPr>
        <w:pStyle w:val="ListBullet"/>
      </w:pPr>
      <w:r>
        <w:t>Subcontractor pay applications for the corresponding period</w:t>
      </w:r>
    </w:p>
    <w:p>
      <w:pPr>
        <w:pStyle w:val="ListBullet"/>
      </w:pPr>
      <w:r>
        <w:t>Vendor invoices for materials billed for the period</w:t>
      </w:r>
    </w:p>
    <w:p>
      <w:pPr>
        <w:pStyle w:val="ListBullet"/>
      </w:pPr>
      <w:r>
        <w:t>Payroll records for direct labor and project-site staff for the period</w:t>
      </w:r>
    </w:p>
    <w:p>
      <w:pPr>
        <w:pStyle w:val="ListBullet"/>
      </w:pPr>
      <w:r>
        <w:t>Contingency status report (see Section 8.4)</w:t>
      </w:r>
    </w:p>
    <w:p>
      <w:pPr>
        <w:pStyle w:val="ListBullet"/>
      </w:pPr>
      <w:r>
        <w:t>Change order log (cumulative)</w:t>
      </w:r>
    </w:p>
    <w:p>
      <w:pPr>
        <w:pStyle w:val="ListBullet"/>
      </w:pPr>
      <w:r>
        <w:t>Lien waivers (conditional partial for current; unconditional partial for prior period)</w:t>
      </w:r>
    </w:p>
    <w:p>
      <w:r>
        <w:t>11.4 Retainage.</w:t>
      </w:r>
      <w:r>
        <w:t xml:space="preserve"> Retainage shall be withheld from each progress payment at the rate stated in the GMP Amendment (typical: </w:t>
      </w:r>
      <w:r>
        <w:t>[10%]</w:t>
      </w:r>
      <w:r>
        <w:t>), released as set forth in the General Conditions.</w:t>
      </w:r>
    </w:p>
    <w:p>
      <w:r>
        <w:t>11.5 Architect Certification.</w:t>
      </w:r>
      <w:r>
        <w:t xml:space="preserve"> If an Architect is engaged on the Project, the Architect shall certify each Application for Payment in accordance with the General Conditions. Owner shall pay Contractor within the period specified in the GMP Amendment after Architect's certification (typical: </w:t>
      </w:r>
      <w:r>
        <w:t>[30 days]</w:t>
      </w:r>
      <w:r>
        <w:t>).</w:t>
      </w:r>
    </w:p>
    <w:p>
      <w:r>
        <w:t>11.6 Final Payment.</w:t>
      </w:r>
      <w:r>
        <w:t xml:space="preserve"> Final payment, including release of all retainage withheld and payment of any unbilled amounts, shall be made to Contractor within the period specified in the GMP Amendment after Final Completion and submission of all required closeout documents (typical: </w:t>
      </w:r>
      <w:r>
        <w:t>[30 days]</w:t>
      </w:r>
      <w:r>
        <w:t>).</w:t>
      </w:r>
    </w:p>
    <w:p>
      <w:r>
        <w:t>12.1 Buy-Out Treatment.</w:t>
      </w:r>
      <w:r>
        <w:t xml:space="preserve"> The Estimated Cost of the Work in the GMP is based on bid-time estimates of subcontract values. The actual subcontracts entered into by Contractor following GMP execution may yield amounts that differ from the GMP estimates ("buy-out gain" if lower; "buy-out loss" if higher). Treatment:</w:t>
      </w:r>
    </w:p>
    <w:p>
      <w:pPr>
        <w:pStyle w:val="ListBullet"/>
      </w:pPr>
      <w:r>
        <w:rPr>
          <w:b/>
        </w:rPr>
        <w:t>Buy-out gain</w:t>
      </w:r>
      <w:r>
        <w:t xml:space="preserve"> (actual subcontract amount less than the estimate in the GMP): the gain reduces the projected Cost of the Work; the GMP is NOT reduced by the gain (the gain remains within the GMP and is available to absorb subsequent buy-out losses on other trades or to be returned to Owner via Savings Sharing at completion). Contractor's Contingency is not adjusted by buy-out gains.</w:t>
      </w:r>
    </w:p>
    <w:p>
      <w:pPr>
        <w:pStyle w:val="ListBullet"/>
      </w:pPr>
      <w:r>
        <w:rPr>
          <w:b/>
        </w:rPr>
        <w:t>Buy-out loss</w:t>
      </w:r>
      <w:r>
        <w:t xml:space="preserve"> (actual subcontract amount more than the estimate in the GMP): the loss increases the projected Cost of the Work; the GMP is NOT increased by the loss. Contractor must absorb the loss out of buy-out gains on other trades, the Contingency, or — once those are exhausted — out of Contractor's Fee or out of pocket.</w:t>
      </w:r>
    </w:p>
    <w:p>
      <w:r>
        <w:t>12.2 Owner Visibility.</w:t>
      </w:r>
      <w:r>
        <w:t xml:space="preserve"> Contractor shall provide Owner with monthly reporting of buy-out activity, identifying subcontracts let in the period, the GMP estimate vs. actual contract value for each, and the cumulative buy-out gain or loss against the GMP estimate.</w:t>
      </w:r>
    </w:p>
    <w:p>
      <w:r>
        <w:t>13.1 Open Book.</w:t>
      </w:r>
      <w:r>
        <w:t xml:space="preserve"> Contractor shall maintain Open Book accounting on the Project, meaning that all costs included as Cost of the Work shall be supported by documentation (invoices, paid receipts, payroll records, subcontract amounts, equipment rental tickets) available for Owner inspection on reasonable advance notice during the Construction Phase and for a period of three (3) years after Final Completion.</w:t>
      </w:r>
    </w:p>
    <w:p>
      <w:r>
        <w:t>13.2 Audit Rights.</w:t>
      </w:r>
      <w:r>
        <w:t xml:space="preserve"> Owner, or Owner's designated independent auditor, shall have the right to audit Contractor's books and records pertaining to the Cost of the Work at any time during the Construction Phase and for three (3) years after Final Completion, upon reasonable advance notice. Audit findings of overcharges (costs improperly included as Cost of the Work) entitle Owner to refund of the overcharge plus, if the overcharge exceeds </w:t>
      </w:r>
      <w:r>
        <w:t>[2%]</w:t>
      </w:r>
      <w:r>
        <w:t xml:space="preserve"> of audited Cost of the Work, reimbursement of Owner's reasonable audit costs.</w:t>
      </w:r>
    </w:p>
    <w:p>
      <w:r>
        <w:t>13.3 Subcontractor Books.</w:t>
      </w:r>
      <w:r>
        <w:t xml:space="preserve"> For Cost-Plus subcontracts entered into by Contractor in connection with the Project, Contractor shall require the subcontractor to maintain similar open-book records. For lump-sum subcontracts, the subcontract amount itself is the documented cost (no further open-book requirement).</w:t>
      </w:r>
    </w:p>
    <w:p>
      <w:r>
        <w:t>13.4 Privileged or Confidential Information.</w:t>
      </w:r>
      <w:r>
        <w:t xml:space="preserve"> Open-book obligations do not require disclosure of (a) Contractor's general office or executive compensation; (b) Contractor's bank borrowing and capital structure; (c) Contractor's relationships with insurance carriers and surety apart from project-specific premiums; (d) other documents privileged or confidential under applicable law.</w:t>
      </w:r>
    </w:p>
    <w:p>
      <w:r>
        <w:t>14.1 Savings Defined.</w:t>
      </w:r>
      <w:r>
        <w:t xml:space="preserve"> "Savings" at Final Completion equals the unspent portion of the as-adjusted GMP — i.e., the GMP (as adjusted by all executed Change Orders) minus the Total Actual Cost to Owner. Total Actual Cost to Owner consists of (a) actual Cost of the Work properly reimbursable to Contractor under Article 5, including all amounts paid through draws on the Contractor's Contingency under Article 8 and all Allowance reconciliations under Article 9 (which are themselves components of, or adjustments to, actual Cost of the Work — not separate add-backs); plus (b) Contractor's Fee earned under Article 7. Restated:</w:t>
      </w:r>
    </w:p>
    <w:p>
      <w:r>
        <w:rPr>
          <w:b/>
        </w:rPr>
        <w:t>Note on accounting.</w:t>
      </w:r>
      <w:r>
        <w:t xml:space="preserve"> Contingency draws (Article 8) and Allowance reconciliations (Article 9) are </w:t>
      </w:r>
      <w:r>
        <w:rPr>
          <w:i/>
        </w:rPr>
        <w:t>recorded in</w:t>
      </w:r>
      <w:r>
        <w:t xml:space="preserve"> the Cost of the Work as they occur — they are not separately added on top. The two-line formula above explicitly avoids the double-counting risk of subtracting the same dollar twice in the Savings calculation.</w:t>
      </w:r>
    </w:p>
    <w:p>
      <w:r>
        <w:t>14.2 Sharing Formula.</w:t>
      </w:r>
      <w:r>
        <w:t xml:space="preserve"> Savings shall be shared between Owner and Contractor as follows (the "Savings Sharing Formula" — to be agreed in the GMP Amendment, with industry-typical structures shown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Structure</w:t>
            </w:r>
          </w:p>
        </w:tc>
        <w:tc>
          <w:tcPr>
            <w:tcW w:type="dxa" w:w="2160"/>
          </w:tcPr>
          <w:p>
            <w:r>
              <w:t>Owner Share</w:t>
            </w:r>
          </w:p>
        </w:tc>
        <w:tc>
          <w:tcPr>
            <w:tcW w:type="dxa" w:w="2160"/>
          </w:tcPr>
          <w:p>
            <w:r>
              <w:t>Contractor Share</w:t>
            </w:r>
          </w:p>
        </w:tc>
        <w:tc>
          <w:tcPr>
            <w:tcW w:type="dxa" w:w="2160"/>
          </w:tcPr>
          <w:p>
            <w:r>
              <w:t>Used When</w:t>
            </w:r>
          </w:p>
        </w:tc>
      </w:tr>
      <w:tr>
        <w:tc>
          <w:tcPr>
            <w:tcW w:type="dxa" w:w="2160"/>
          </w:tcPr>
          <w:p>
            <w:r>
              <w:t>Owner-favored</w:t>
            </w:r>
          </w:p>
        </w:tc>
        <w:tc>
          <w:tcPr>
            <w:tcW w:type="dxa" w:w="2160"/>
          </w:tcPr>
          <w:p>
            <w:r>
              <w:t>75%</w:t>
            </w:r>
          </w:p>
        </w:tc>
        <w:tc>
          <w:tcPr>
            <w:tcW w:type="dxa" w:w="2160"/>
          </w:tcPr>
          <w:p>
            <w:r>
              <w:t>25%</w:t>
            </w:r>
          </w:p>
        </w:tc>
        <w:tc>
          <w:tcPr>
            <w:tcW w:type="dxa" w:w="2160"/>
          </w:tcPr>
          <w:p>
            <w:r>
              <w:t>Owner-friendly market; mature contractor relationship; smaller projects</w:t>
            </w:r>
          </w:p>
        </w:tc>
      </w:tr>
      <w:tr>
        <w:tc>
          <w:tcPr>
            <w:tcW w:type="dxa" w:w="2160"/>
          </w:tcPr>
          <w:p>
            <w:r>
              <w:t>Even split</w:t>
            </w:r>
          </w:p>
        </w:tc>
        <w:tc>
          <w:tcPr>
            <w:tcW w:type="dxa" w:w="2160"/>
          </w:tcPr>
          <w:p>
            <w:r>
              <w:t>50%</w:t>
            </w:r>
          </w:p>
        </w:tc>
        <w:tc>
          <w:tcPr>
            <w:tcW w:type="dxa" w:w="2160"/>
          </w:tcPr>
          <w:p>
            <w:r>
              <w:t>50%</w:t>
            </w:r>
          </w:p>
        </w:tc>
        <w:tc>
          <w:tcPr>
            <w:tcW w:type="dxa" w:w="2160"/>
          </w:tcPr>
          <w:p>
            <w:r>
              <w:t>Most common in commercial GMP work</w:t>
            </w:r>
          </w:p>
        </w:tc>
      </w:tr>
      <w:tr>
        <w:tc>
          <w:tcPr>
            <w:tcW w:type="dxa" w:w="2160"/>
          </w:tcPr>
          <w:p>
            <w:r>
              <w:t>Contractor-favored</w:t>
            </w:r>
          </w:p>
        </w:tc>
        <w:tc>
          <w:tcPr>
            <w:tcW w:type="dxa" w:w="2160"/>
          </w:tcPr>
          <w:p>
            <w:r>
              <w:t>25%</w:t>
            </w:r>
          </w:p>
        </w:tc>
        <w:tc>
          <w:tcPr>
            <w:tcW w:type="dxa" w:w="2160"/>
          </w:tcPr>
          <w:p>
            <w:r>
              <w:t>75%</w:t>
            </w:r>
          </w:p>
        </w:tc>
        <w:tc>
          <w:tcPr>
            <w:tcW w:type="dxa" w:w="2160"/>
          </w:tcPr>
          <w:p>
            <w:r>
              <w:t>High-incentive structure; larger projects with significant buy-out potential</w:t>
            </w:r>
          </w:p>
        </w:tc>
      </w:tr>
      <w:tr>
        <w:tc>
          <w:tcPr>
            <w:tcW w:type="dxa" w:w="2160"/>
          </w:tcPr>
          <w:p>
            <w:r>
              <w:t>Tiered (savings-band)</w:t>
            </w:r>
          </w:p>
        </w:tc>
        <w:tc>
          <w:tcPr>
            <w:tcW w:type="dxa" w:w="2160"/>
          </w:tcPr>
          <w:p>
            <w:r>
              <w:t>Sliding</w:t>
            </w:r>
          </w:p>
        </w:tc>
        <w:tc>
          <w:tcPr>
            <w:tcW w:type="dxa" w:w="2160"/>
          </w:tcPr>
          <w:p>
            <w:r>
              <w:t>Sliding</w:t>
            </w:r>
          </w:p>
        </w:tc>
        <w:tc>
          <w:tcPr>
            <w:tcW w:type="dxa" w:w="2160"/>
          </w:tcPr>
          <w:p>
            <w:r>
              <w:t>E.g., first 5% of GMP savings split 70/30 to Owner; next 5% split 50/50; above that 30/70 to Contractor — incentivizes deep cost reduction</w:t>
            </w:r>
          </w:p>
        </w:tc>
      </w:tr>
      <w:tr>
        <w:tc>
          <w:tcPr>
            <w:tcW w:type="dxa" w:w="2160"/>
          </w:tcPr>
          <w:p>
            <w:r>
              <w:t>Owner-only</w:t>
            </w:r>
          </w:p>
        </w:tc>
        <w:tc>
          <w:tcPr>
            <w:tcW w:type="dxa" w:w="2160"/>
          </w:tcPr>
          <w:p>
            <w:r>
              <w:t>100%</w:t>
            </w:r>
          </w:p>
        </w:tc>
        <w:tc>
          <w:tcPr>
            <w:tcW w:type="dxa" w:w="2160"/>
          </w:tcPr>
          <w:p>
            <w:r>
              <w:t>0%</w:t>
            </w:r>
          </w:p>
        </w:tc>
        <w:tc>
          <w:tcPr>
            <w:tcW w:type="dxa" w:w="2160"/>
          </w:tcPr>
          <w:p>
            <w:r>
              <w:t>Public projects in jurisdictions that prohibit savings sharing; some institutional owners</w:t>
            </w:r>
          </w:p>
        </w:tc>
      </w:tr>
    </w:tbl>
    <w:p>
      <w:r>
        <w:t>14.3 Calculation at Final Completion.</w:t>
      </w:r>
      <w:r>
        <w:t xml:space="preserve"> Savings shall be calculated at Final Completion based on actual Cost of the Work as audited (per Article 13) and reconciled against the GMP. The calculation and the resulting Savings allocation shall be set forth in a closing reconciliation submitted with the final Application for Payment.</w:t>
      </w:r>
    </w:p>
    <w:p>
      <w:r>
        <w:t>14.4 No Sharing of Loss Above the As-Adjusted GMP.</w:t>
      </w:r>
      <w:r>
        <w:t xml:space="preserve"> If at Final Completion the actual Cost of the Work plus Contractor's Fee exceeds the GMP </w:t>
      </w:r>
      <w:r>
        <w:rPr>
          <w:b/>
        </w:rPr>
        <w:t>as adjusted by all executed Change Orders under Article 10</w:t>
      </w:r>
      <w:r>
        <w:t>, Contractor bears the excess as set forth in Article 4 — Owner does not share in cost overruns above the as-adjusted GMP. (Cost increases driven by Owner-directed Change Orders that adjust the GMP upward are NOT cost overruns within the meaning of this Section; those are addressed by the Change Order itself, which expands the GMP and the Owner's payment obligation accordingly.)</w:t>
      </w:r>
    </w:p>
    <w:p>
      <w:r>
        <w:t>15.1 Incorporated Terms.</w:t>
      </w:r>
      <w:r>
        <w:t xml:space="preserve"> All other provisions governing the Work — insurance, bonds, indemnification, scheduling, dispute resolution, default and termination, warranties, lien waivers, safety, environmental, intellectual property, and miscellaneous provisions — are governed by the General Conditions (Exhibit B) and are incorporated by reference. Where a conflict exists between this Agreement and the General Conditions, this Agreement governs.</w:t>
      </w:r>
    </w:p>
    <w:p>
      <w:r>
        <w:t>15.2 Modifications to General Conditions.</w:t>
      </w:r>
      <w:r>
        <w:t xml:space="preserve"> Any project-specific modifications to the General Conditions are set forth in the Supplementary Conditions (Exhibit E) attached to the GMP Amendment.</w:t>
      </w:r>
    </w:p>
    <w:p>
      <w:r>
        <w:t>15.3 Governing Law.</w:t>
      </w:r>
      <w:r>
        <w:t xml:space="preserve"> This Agreement is governed by the laws of the State of </w:t>
      </w:r>
      <w:r>
        <w:t>[State of the Project]</w:t>
      </w:r>
      <w:r>
        <w:t>.</w:t>
      </w:r>
    </w:p>
    <w:p>
      <w:r>
        <w:t>15.4 Entire Agreement.</w:t>
      </w:r>
      <w:r>
        <w:t xml:space="preserve"> This Agreement, together with the GMP Amendment, the General Conditions, the Supplementary Conditions, the Drawings and Specifications, and the other Contract Documents, constitutes the entire agreement between the parties with respect to the subject matter hereof.</w:t>
      </w:r>
    </w:p>
    <w:p>
      <w:r>
        <w:t>15.5 Counterparts; Electronic Signatures.</w:t>
      </w:r>
      <w:r>
        <w:t xml:space="preserve"> This Agreement may be executed in counterparts and electronically signed.</w:t>
      </w:r>
    </w:p>
    <w:p>
      <w:r>
        <w:t>IN WITNESS WHEREOF, the parties have executed this Guaranteed Maximum Price Agreement as of the Effective Date first above written.</w:t>
      </w:r>
    </w:p>
    <w:p>
      <w:r>
        <w:t xml:space="preserve">State of </w:t>
      </w:r>
      <w:r>
        <w:t>[State]</w:t>
      </w:r>
      <w:r>
        <w:t xml:space="preserve"> · County of </w:t>
      </w:r>
      <w:r>
        <w:t>[County]</w:t>
      </w:r>
    </w:p>
    <w:p>
      <w:r>
        <w:t xml:space="preserve">On </w:t>
      </w:r>
      <w:r>
        <w:t>[Date]</w:t>
      </w:r>
      <w:r>
        <w:t xml:space="preserve">, before me, </w:t>
      </w:r>
      <w:r>
        <w:t>[Notary Name]</w:t>
      </w:r>
      <w:r>
        <w:t xml:space="preserve">, a Notary Public, personally appeared </w:t>
      </w:r>
      <w:r>
        <w:t>[Signer Name]</w:t>
      </w:r>
      <w:r>
        <w:t>, who proved to me on the basis of satisfactory evidence to be the person whose name is subscribed to the within instrument, and acknowledged that he/she/they executed the same in his/her/their authorized capacity.</w:t>
      </w:r>
    </w:p>
    <w:p>
      <w:r>
        <w:t xml:space="preserve">I certify under PENALTY OF PERJURY under the laws of the State of </w:t>
      </w:r>
      <w:r>
        <w:t>[State]</w:t>
      </w:r>
      <w:r>
        <w:t xml:space="preserve"> that the foregoing paragraph is true and correct.</w:t>
      </w:r>
    </w:p>
    <w:p>
      <w:r>
        <w:t>Document version: 2026-05-15 (v1.0). Industry-standard commercial form; structural framework parallels AIA Documents A102 / A133 (Standard Form of Agreement Between Owner and Contractor for a Cost-Plus-Fee with a Guaranteed Maximum Price) without reproducing the AIA copyrighted form. Maintained as part of the ContrPro Complete tier — General Contractor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