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t xml:space="preserve">            Commercial GC scheduling operates on two distinct time horizons that work together: (1) the </w:t>
      </w:r>
      <w:r>
        <w:rPr>
          <w:b/>
        </w:rPr>
        <w:t>Baseline Schedule</w:t>
      </w:r>
      <w:r>
        <w:t xml:space="preserve"> — the master Critical Path Method (CPM) schedule developed at project start, showing every activity from notice to proceed through final completion, with durations, dependencies, milestones, and float; and (2) the </w:t>
      </w:r>
      <w:r>
        <w:rPr>
          <w:b/>
        </w:rPr>
        <w:t>3-Week Look-Ahead</w:t>
      </w:r>
      <w:r>
        <w:t xml:space="preserve"> — a rolling short-interval schedule used at weekly trade coordination meetings to confirm what's happening in the next 21 days at the trade-by-trade level. The Baseline answers "are we on schedule overall?" The Look-Ahead answers "what's actually happening this week and who's responsible?" Both are required; they serve different audiences and different decisions. This package provides templates and discipline rules for both.</w:t>
        <w:br/>
        <w:t xml:space="preserve">        </w:t>
      </w:r>
    </w:p>
    <w:p>
      <w:pPr>
        <w:pStyle w:val="ListNumber"/>
      </w:pPr>
      <w:r>
        <w:t>Two Time Horizons — Baseline vs. Look-Ahead</w:t>
      </w:r>
    </w:p>
    <w:p>
      <w:pPr>
        <w:pStyle w:val="ListNumber"/>
      </w:pPr>
      <w:r>
        <w:t>Baseline Schedule — Master CPM</w:t>
      </w:r>
    </w:p>
    <w:p>
      <w:pPr>
        <w:pStyle w:val="ListNumber"/>
      </w:pPr>
      <w:r>
        <w:t>3-Week Look-Ahead Schedule</w:t>
      </w:r>
    </w:p>
    <w:p>
      <w:pPr>
        <w:pStyle w:val="ListNumber"/>
      </w:pPr>
      <w:r>
        <w:t>Monthly Schedule Update Procedure</w:t>
      </w:r>
    </w:p>
    <w:p>
      <w:pPr>
        <w:pStyle w:val="ListNumber"/>
      </w:pPr>
      <w:r>
        <w:t>Schedule Discipline — 12 Rules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Aspect</w:t>
            </w:r>
          </w:p>
        </w:tc>
        <w:tc>
          <w:tcPr>
            <w:tcW w:type="dxa" w:w="2880"/>
          </w:tcPr>
          <w:p>
            <w:r>
              <w:t>Baseline Schedule (CPM)</w:t>
            </w:r>
          </w:p>
        </w:tc>
        <w:tc>
          <w:tcPr>
            <w:tcW w:type="dxa" w:w="2880"/>
          </w:tcPr>
          <w:p>
            <w:r>
              <w:t>3-Week Look-Ahead</w:t>
            </w:r>
          </w:p>
        </w:tc>
      </w:tr>
      <w:tr>
        <w:tc>
          <w:tcPr>
            <w:tcW w:type="dxa" w:w="2880"/>
          </w:tcPr>
          <w:p>
            <w:r>
              <w:t>Time horizon</w:t>
            </w:r>
          </w:p>
        </w:tc>
        <w:tc>
          <w:tcPr>
            <w:tcW w:type="dxa" w:w="2880"/>
          </w:tcPr>
          <w:p>
            <w:r>
              <w:t>Notice to Proceed → Final Completion (typically 6–36 months)</w:t>
            </w:r>
          </w:p>
        </w:tc>
        <w:tc>
          <w:tcPr>
            <w:tcW w:type="dxa" w:w="2880"/>
          </w:tcPr>
          <w:p>
            <w:r>
              <w:t>Current week + next 2 weeks (21 calendar days)</w:t>
            </w:r>
          </w:p>
        </w:tc>
      </w:tr>
      <w:tr>
        <w:tc>
          <w:tcPr>
            <w:tcW w:type="dxa" w:w="2880"/>
          </w:tcPr>
          <w:p>
            <w:r>
              <w:t>Granularity</w:t>
            </w:r>
          </w:p>
        </w:tc>
        <w:tc>
          <w:tcPr>
            <w:tcW w:type="dxa" w:w="2880"/>
          </w:tcPr>
          <w:p>
            <w:r>
              <w:t>Activities of 1–14 days each, organized by phase / area / trade</w:t>
            </w:r>
          </w:p>
        </w:tc>
        <w:tc>
          <w:tcPr>
            <w:tcW w:type="dxa" w:w="2880"/>
          </w:tcPr>
          <w:p>
            <w:r>
              <w:t>Daily granularity at the trade-level work crew</w:t>
            </w:r>
          </w:p>
        </w:tc>
      </w:tr>
      <w:tr>
        <w:tc>
          <w:tcPr>
            <w:tcW w:type="dxa" w:w="2880"/>
          </w:tcPr>
          <w:p>
            <w:r>
              <w:t>Updated</w:t>
            </w:r>
          </w:p>
        </w:tc>
        <w:tc>
          <w:tcPr>
            <w:tcW w:type="dxa" w:w="2880"/>
          </w:tcPr>
          <w:p>
            <w:r>
              <w:t>Monthly (with each Application for Payment)</w:t>
            </w:r>
          </w:p>
        </w:tc>
        <w:tc>
          <w:tcPr>
            <w:tcW w:type="dxa" w:w="2880"/>
          </w:tcPr>
          <w:p>
            <w:r>
              <w:t>Weekly (every coordination meeting)</w:t>
            </w:r>
          </w:p>
        </w:tc>
      </w:tr>
      <w:tr>
        <w:tc>
          <w:tcPr>
            <w:tcW w:type="dxa" w:w="2880"/>
          </w:tcPr>
          <w:p>
            <w:r>
              <w:t>Audience</w:t>
            </w:r>
          </w:p>
        </w:tc>
        <w:tc>
          <w:tcPr>
            <w:tcW w:type="dxa" w:w="2880"/>
          </w:tcPr>
          <w:p>
            <w:r>
              <w:t>Owner, architect, lender (if any), GC project executive, surety</w:t>
            </w:r>
          </w:p>
        </w:tc>
        <w:tc>
          <w:tcPr>
            <w:tcW w:type="dxa" w:w="2880"/>
          </w:tcPr>
          <w:p>
            <w:r>
              <w:t>Trade subcontractor PMs and superintendents at the weekly coordination meeting</w:t>
            </w:r>
          </w:p>
        </w:tc>
      </w:tr>
      <w:tr>
        <w:tc>
          <w:tcPr>
            <w:tcW w:type="dxa" w:w="2880"/>
          </w:tcPr>
          <w:p>
            <w:r>
              <w:t>Decision it drives</w:t>
            </w:r>
          </w:p>
        </w:tc>
        <w:tc>
          <w:tcPr>
            <w:tcW w:type="dxa" w:w="2880"/>
          </w:tcPr>
          <w:p>
            <w:r>
              <w:t>"Are we on schedule overall? When is substantial completion? What's on the critical path?"</w:t>
            </w:r>
          </w:p>
        </w:tc>
        <w:tc>
          <w:tcPr>
            <w:tcW w:type="dxa" w:w="2880"/>
          </w:tcPr>
          <w:p>
            <w:r>
              <w:t>"What's happening this week and next? Who has what crew where? What conflicts need to be resolved?"</w:t>
            </w:r>
          </w:p>
        </w:tc>
      </w:tr>
      <w:tr>
        <w:tc>
          <w:tcPr>
            <w:tcW w:type="dxa" w:w="2880"/>
          </w:tcPr>
          <w:p>
            <w:r>
              <w:t>Software</w:t>
            </w:r>
          </w:p>
        </w:tc>
        <w:tc>
          <w:tcPr>
            <w:tcW w:type="dxa" w:w="2880"/>
          </w:tcPr>
          <w:p>
            <w:r>
              <w:t>Primavera P6, Microsoft Project, Asta Powerproject, Synchro</w:t>
            </w:r>
          </w:p>
        </w:tc>
        <w:tc>
          <w:tcPr>
            <w:tcW w:type="dxa" w:w="2880"/>
          </w:tcPr>
          <w:p>
            <w:r>
              <w:t>Excel, Smartsheet, P6 + filter, Asana / Monday for simple projects</w:t>
            </w:r>
          </w:p>
        </w:tc>
      </w:tr>
      <w:tr>
        <w:tc>
          <w:tcPr>
            <w:tcW w:type="dxa" w:w="2880"/>
          </w:tcPr>
          <w:p>
            <w:r>
              <w:t>Format</w:t>
            </w:r>
          </w:p>
        </w:tc>
        <w:tc>
          <w:tcPr>
            <w:tcW w:type="dxa" w:w="2880"/>
          </w:tcPr>
          <w:p>
            <w:r>
              <w:t>Gantt chart with logic ties; CSV export with predecessors / successors / float</w:t>
            </w:r>
          </w:p>
        </w:tc>
        <w:tc>
          <w:tcPr>
            <w:tcW w:type="dxa" w:w="2880"/>
          </w:tcPr>
          <w:p>
            <w:r>
              <w:t>Tabular by trade and by week; sometimes printed as 11x17 banner posted at job trailer</w:t>
            </w:r>
          </w:p>
        </w:tc>
      </w:tr>
    </w:tbl>
    <w:p>
      <w:r>
        <w:t>The Baseline is developed in the first 30 days of the project. It identifies every activity required to complete the work, with durations, dependencies (predecessor → successor relationships), and milestone dates. The Critical Path is the longest sequence of dependent activities — any delay on the critical path delays the project; activities not on the critical path have float (the time they can slip without affecting the project end date).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t>Act ID</w:t>
            </w:r>
          </w:p>
        </w:tc>
        <w:tc>
          <w:tcPr>
            <w:tcW w:type="dxa" w:w="864"/>
          </w:tcPr>
          <w:p>
            <w:r>
              <w:t>Activity Description</w:t>
            </w:r>
          </w:p>
        </w:tc>
        <w:tc>
          <w:tcPr>
            <w:tcW w:type="dxa" w:w="864"/>
          </w:tcPr>
          <w:p>
            <w:r>
              <w:t>Phase / Area</w:t>
            </w:r>
          </w:p>
        </w:tc>
        <w:tc>
          <w:tcPr>
            <w:tcW w:type="dxa" w:w="864"/>
          </w:tcPr>
          <w:p>
            <w:r>
              <w:t>Trade</w:t>
            </w:r>
          </w:p>
        </w:tc>
        <w:tc>
          <w:tcPr>
            <w:tcW w:type="dxa" w:w="864"/>
          </w:tcPr>
          <w:p>
            <w:r>
              <w:t>Duration (days)</w:t>
            </w:r>
          </w:p>
        </w:tc>
        <w:tc>
          <w:tcPr>
            <w:tcW w:type="dxa" w:w="864"/>
          </w:tcPr>
          <w:p>
            <w:r>
              <w:t>Predecessor (relation)</w:t>
            </w:r>
          </w:p>
        </w:tc>
        <w:tc>
          <w:tcPr>
            <w:tcW w:type="dxa" w:w="864"/>
          </w:tcPr>
          <w:p>
            <w:r>
              <w:t>Early Start</w:t>
            </w:r>
          </w:p>
        </w:tc>
        <w:tc>
          <w:tcPr>
            <w:tcW w:type="dxa" w:w="864"/>
          </w:tcPr>
          <w:p>
            <w:r>
              <w:t>Early Finish</w:t>
            </w:r>
          </w:p>
        </w:tc>
        <w:tc>
          <w:tcPr>
            <w:tcW w:type="dxa" w:w="864"/>
          </w:tcPr>
          <w:p>
            <w:r>
              <w:t>Float (days)</w:t>
            </w:r>
          </w:p>
        </w:tc>
        <w:tc>
          <w:tcPr>
            <w:tcW w:type="dxa" w:w="864"/>
          </w:tcPr>
          <w:p>
            <w:r>
              <w:t>Critical?</w:t>
            </w:r>
          </w:p>
        </w:tc>
      </w:tr>
      <w:tr>
        <w:tc>
          <w:tcPr>
            <w:tcW w:type="dxa" w:w="864"/>
          </w:tcPr>
          <w:p>
            <w:r>
              <w:t>— SAMPLE EXTRACT (typical 12-month commercial project; full schedule has 200–500 activities) —</w:t>
            </w:r>
          </w:p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</w:tr>
      <w:tr>
        <w:tc>
          <w:tcPr>
            <w:tcW w:type="dxa" w:w="864"/>
          </w:tcPr>
          <w:p>
            <w:r>
              <w:t>A100</w:t>
            </w:r>
          </w:p>
        </w:tc>
        <w:tc>
          <w:tcPr>
            <w:tcW w:type="dxa" w:w="864"/>
          </w:tcPr>
          <w:p>
            <w:r>
              <w:t>Notice to Proceed</w:t>
            </w:r>
          </w:p>
        </w:tc>
        <w:tc>
          <w:tcPr>
            <w:tcW w:type="dxa" w:w="864"/>
          </w:tcPr>
          <w:p>
            <w:r>
              <w:t>Pre-Con</w:t>
            </w:r>
          </w:p>
        </w:tc>
        <w:tc>
          <w:tcPr>
            <w:tcW w:type="dxa" w:w="864"/>
          </w:tcPr>
          <w:p>
            <w:r>
              <w:t>—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—</w:t>
            </w:r>
          </w:p>
        </w:tc>
        <w:tc>
          <w:tcPr>
            <w:tcW w:type="dxa" w:w="864"/>
          </w:tcPr>
          <w:p>
            <w:r>
              <w:t>2026-03-01</w:t>
            </w:r>
          </w:p>
        </w:tc>
        <w:tc>
          <w:tcPr>
            <w:tcW w:type="dxa" w:w="864"/>
          </w:tcPr>
          <w:p>
            <w:r>
              <w:t>2026-03-01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Y</w:t>
            </w:r>
          </w:p>
        </w:tc>
      </w:tr>
      <w:tr>
        <w:tc>
          <w:tcPr>
            <w:tcW w:type="dxa" w:w="864"/>
          </w:tcPr>
          <w:p>
            <w:r>
              <w:t>A110</w:t>
            </w:r>
          </w:p>
        </w:tc>
        <w:tc>
          <w:tcPr>
            <w:tcW w:type="dxa" w:w="864"/>
          </w:tcPr>
          <w:p>
            <w:r>
              <w:t>Mobilize site (fence, trailer, util.)</w:t>
            </w:r>
          </w:p>
        </w:tc>
        <w:tc>
          <w:tcPr>
            <w:tcW w:type="dxa" w:w="864"/>
          </w:tcPr>
          <w:p>
            <w:r>
              <w:t>Pre-Con</w:t>
            </w:r>
          </w:p>
        </w:tc>
        <w:tc>
          <w:tcPr>
            <w:tcW w:type="dxa" w:w="864"/>
          </w:tcPr>
          <w:p>
            <w:r>
              <w:t>GC</w:t>
            </w:r>
          </w:p>
        </w:tc>
        <w:tc>
          <w:tcPr>
            <w:tcW w:type="dxa" w:w="864"/>
          </w:tcPr>
          <w:p>
            <w:r>
              <w:t>10</w:t>
            </w:r>
          </w:p>
        </w:tc>
        <w:tc>
          <w:tcPr>
            <w:tcW w:type="dxa" w:w="864"/>
          </w:tcPr>
          <w:p>
            <w:r>
              <w:t>A100 (FS)</w:t>
            </w:r>
          </w:p>
        </w:tc>
        <w:tc>
          <w:tcPr>
            <w:tcW w:type="dxa" w:w="864"/>
          </w:tcPr>
          <w:p>
            <w:r>
              <w:t>2026-03-02</w:t>
            </w:r>
          </w:p>
        </w:tc>
        <w:tc>
          <w:tcPr>
            <w:tcW w:type="dxa" w:w="864"/>
          </w:tcPr>
          <w:p>
            <w:r>
              <w:t>2026-03-15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Y</w:t>
            </w:r>
          </w:p>
        </w:tc>
      </w:tr>
      <w:tr>
        <w:tc>
          <w:tcPr>
            <w:tcW w:type="dxa" w:w="864"/>
          </w:tcPr>
          <w:p>
            <w:r>
              <w:t>A200</w:t>
            </w:r>
          </w:p>
        </w:tc>
        <w:tc>
          <w:tcPr>
            <w:tcW w:type="dxa" w:w="864"/>
          </w:tcPr>
          <w:p>
            <w:r>
              <w:t>Site clearing &amp; demolition</w:t>
            </w:r>
          </w:p>
        </w:tc>
        <w:tc>
          <w:tcPr>
            <w:tcW w:type="dxa" w:w="864"/>
          </w:tcPr>
          <w:p>
            <w:r>
              <w:t>Site</w:t>
            </w:r>
          </w:p>
        </w:tc>
        <w:tc>
          <w:tcPr>
            <w:tcW w:type="dxa" w:w="864"/>
          </w:tcPr>
          <w:p>
            <w:r>
              <w:t>Demo</w:t>
            </w:r>
          </w:p>
        </w:tc>
        <w:tc>
          <w:tcPr>
            <w:tcW w:type="dxa" w:w="864"/>
          </w:tcPr>
          <w:p>
            <w:r>
              <w:t>15</w:t>
            </w:r>
          </w:p>
        </w:tc>
        <w:tc>
          <w:tcPr>
            <w:tcW w:type="dxa" w:w="864"/>
          </w:tcPr>
          <w:p>
            <w:r>
              <w:t>A110 (FS)</w:t>
            </w:r>
          </w:p>
        </w:tc>
        <w:tc>
          <w:tcPr>
            <w:tcW w:type="dxa" w:w="864"/>
          </w:tcPr>
          <w:p>
            <w:r>
              <w:t>2026-03-16</w:t>
            </w:r>
          </w:p>
        </w:tc>
        <w:tc>
          <w:tcPr>
            <w:tcW w:type="dxa" w:w="864"/>
          </w:tcPr>
          <w:p>
            <w:r>
              <w:t>2026-04-05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Y</w:t>
            </w:r>
          </w:p>
        </w:tc>
      </w:tr>
      <w:tr>
        <w:tc>
          <w:tcPr>
            <w:tcW w:type="dxa" w:w="864"/>
          </w:tcPr>
          <w:p>
            <w:r>
              <w:t>A210</w:t>
            </w:r>
          </w:p>
        </w:tc>
        <w:tc>
          <w:tcPr>
            <w:tcW w:type="dxa" w:w="864"/>
          </w:tcPr>
          <w:p>
            <w:r>
              <w:t>Mass excavation</w:t>
            </w:r>
          </w:p>
        </w:tc>
        <w:tc>
          <w:tcPr>
            <w:tcW w:type="dxa" w:w="864"/>
          </w:tcPr>
          <w:p>
            <w:r>
              <w:t>Site</w:t>
            </w:r>
          </w:p>
        </w:tc>
        <w:tc>
          <w:tcPr>
            <w:tcW w:type="dxa" w:w="864"/>
          </w:tcPr>
          <w:p>
            <w:r>
              <w:t>Earthwork</w:t>
            </w:r>
          </w:p>
        </w:tc>
        <w:tc>
          <w:tcPr>
            <w:tcW w:type="dxa" w:w="864"/>
          </w:tcPr>
          <w:p>
            <w:r>
              <w:t>20</w:t>
            </w:r>
          </w:p>
        </w:tc>
        <w:tc>
          <w:tcPr>
            <w:tcW w:type="dxa" w:w="864"/>
          </w:tcPr>
          <w:p>
            <w:r>
              <w:t>A200 (FS)</w:t>
            </w:r>
          </w:p>
        </w:tc>
        <w:tc>
          <w:tcPr>
            <w:tcW w:type="dxa" w:w="864"/>
          </w:tcPr>
          <w:p>
            <w:r>
              <w:t>2026-04-06</w:t>
            </w:r>
          </w:p>
        </w:tc>
        <w:tc>
          <w:tcPr>
            <w:tcW w:type="dxa" w:w="864"/>
          </w:tcPr>
          <w:p>
            <w:r>
              <w:t>2026-05-01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Y</w:t>
            </w:r>
          </w:p>
        </w:tc>
      </w:tr>
      <w:tr>
        <w:tc>
          <w:tcPr>
            <w:tcW w:type="dxa" w:w="864"/>
          </w:tcPr>
          <w:p>
            <w:r>
              <w:t>A300</w:t>
            </w:r>
          </w:p>
        </w:tc>
        <w:tc>
          <w:tcPr>
            <w:tcW w:type="dxa" w:w="864"/>
          </w:tcPr>
          <w:p>
            <w:r>
              <w:t>Foundation rebar &amp; formwork</w:t>
            </w:r>
          </w:p>
        </w:tc>
        <w:tc>
          <w:tcPr>
            <w:tcW w:type="dxa" w:w="864"/>
          </w:tcPr>
          <w:p>
            <w:r>
              <w:t>Foundation</w:t>
            </w:r>
          </w:p>
        </w:tc>
        <w:tc>
          <w:tcPr>
            <w:tcW w:type="dxa" w:w="864"/>
          </w:tcPr>
          <w:p>
            <w:r>
              <w:t>Concrete</w:t>
            </w:r>
          </w:p>
        </w:tc>
        <w:tc>
          <w:tcPr>
            <w:tcW w:type="dxa" w:w="864"/>
          </w:tcPr>
          <w:p>
            <w:r>
              <w:t>15</w:t>
            </w:r>
          </w:p>
        </w:tc>
        <w:tc>
          <w:tcPr>
            <w:tcW w:type="dxa" w:w="864"/>
          </w:tcPr>
          <w:p>
            <w:r>
              <w:t>A210 (FS)</w:t>
            </w:r>
          </w:p>
        </w:tc>
        <w:tc>
          <w:tcPr>
            <w:tcW w:type="dxa" w:w="864"/>
          </w:tcPr>
          <w:p>
            <w:r>
              <w:t>2026-05-02</w:t>
            </w:r>
          </w:p>
        </w:tc>
        <w:tc>
          <w:tcPr>
            <w:tcW w:type="dxa" w:w="864"/>
          </w:tcPr>
          <w:p>
            <w:r>
              <w:t>2026-05-22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Y</w:t>
            </w:r>
          </w:p>
        </w:tc>
      </w:tr>
      <w:tr>
        <w:tc>
          <w:tcPr>
            <w:tcW w:type="dxa" w:w="864"/>
          </w:tcPr>
          <w:p>
            <w:r>
              <w:t>A310</w:t>
            </w:r>
          </w:p>
        </w:tc>
        <w:tc>
          <w:tcPr>
            <w:tcW w:type="dxa" w:w="864"/>
          </w:tcPr>
          <w:p>
            <w:r>
              <w:t>Foundation pour + cure (28 days)</w:t>
            </w:r>
          </w:p>
        </w:tc>
        <w:tc>
          <w:tcPr>
            <w:tcW w:type="dxa" w:w="864"/>
          </w:tcPr>
          <w:p>
            <w:r>
              <w:t>Foundation</w:t>
            </w:r>
          </w:p>
        </w:tc>
        <w:tc>
          <w:tcPr>
            <w:tcW w:type="dxa" w:w="864"/>
          </w:tcPr>
          <w:p>
            <w:r>
              <w:t>Concrete</w:t>
            </w:r>
          </w:p>
        </w:tc>
        <w:tc>
          <w:tcPr>
            <w:tcW w:type="dxa" w:w="864"/>
          </w:tcPr>
          <w:p>
            <w:r>
              <w:t>28</w:t>
            </w:r>
          </w:p>
        </w:tc>
        <w:tc>
          <w:tcPr>
            <w:tcW w:type="dxa" w:w="864"/>
          </w:tcPr>
          <w:p>
            <w:r>
              <w:t>A300 (FS)</w:t>
            </w:r>
          </w:p>
        </w:tc>
        <w:tc>
          <w:tcPr>
            <w:tcW w:type="dxa" w:w="864"/>
          </w:tcPr>
          <w:p>
            <w:r>
              <w:t>2026-05-23</w:t>
            </w:r>
          </w:p>
        </w:tc>
        <w:tc>
          <w:tcPr>
            <w:tcW w:type="dxa" w:w="864"/>
          </w:tcPr>
          <w:p>
            <w:r>
              <w:t>2026-06-19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Y</w:t>
            </w:r>
          </w:p>
        </w:tc>
      </w:tr>
      <w:tr>
        <w:tc>
          <w:tcPr>
            <w:tcW w:type="dxa" w:w="864"/>
          </w:tcPr>
          <w:p>
            <w:r>
              <w:t>A400</w:t>
            </w:r>
          </w:p>
        </w:tc>
        <w:tc>
          <w:tcPr>
            <w:tcW w:type="dxa" w:w="864"/>
          </w:tcPr>
          <w:p>
            <w:r>
              <w:t>Order long-lead steel (begin)</w:t>
            </w:r>
          </w:p>
        </w:tc>
        <w:tc>
          <w:tcPr>
            <w:tcW w:type="dxa" w:w="864"/>
          </w:tcPr>
          <w:p>
            <w:r>
              <w:t>Pre-Con</w:t>
            </w:r>
          </w:p>
        </w:tc>
        <w:tc>
          <w:tcPr>
            <w:tcW w:type="dxa" w:w="864"/>
          </w:tcPr>
          <w:p>
            <w:r>
              <w:t>Steel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A100 (FS)</w:t>
            </w:r>
          </w:p>
        </w:tc>
        <w:tc>
          <w:tcPr>
            <w:tcW w:type="dxa" w:w="864"/>
          </w:tcPr>
          <w:p>
            <w:r>
              <w:t>2026-03-02</w:t>
            </w:r>
          </w:p>
        </w:tc>
        <w:tc>
          <w:tcPr>
            <w:tcW w:type="dxa" w:w="864"/>
          </w:tcPr>
          <w:p>
            <w:r>
              <w:t>2026-03-02</w:t>
            </w:r>
          </w:p>
        </w:tc>
        <w:tc>
          <w:tcPr>
            <w:tcW w:type="dxa" w:w="864"/>
          </w:tcPr>
          <w:p>
            <w:r>
              <w:t>21</w:t>
            </w:r>
          </w:p>
        </w:tc>
        <w:tc>
          <w:tcPr>
            <w:tcW w:type="dxa" w:w="864"/>
          </w:tcPr>
          <w:p>
            <w:r>
              <w:t>N</w:t>
            </w:r>
          </w:p>
        </w:tc>
      </w:tr>
      <w:tr>
        <w:tc>
          <w:tcPr>
            <w:tcW w:type="dxa" w:w="864"/>
          </w:tcPr>
          <w:p>
            <w:r>
              <w:t>A410</w:t>
            </w:r>
          </w:p>
        </w:tc>
        <w:tc>
          <w:tcPr>
            <w:tcW w:type="dxa" w:w="864"/>
          </w:tcPr>
          <w:p>
            <w:r>
              <w:t>Steel shop drawings + fabrication lead time (incl. shop dwg approval)</w:t>
            </w:r>
          </w:p>
        </w:tc>
        <w:tc>
          <w:tcPr>
            <w:tcW w:type="dxa" w:w="864"/>
          </w:tcPr>
          <w:p>
            <w:r>
              <w:t>Pre-Con</w:t>
            </w:r>
          </w:p>
        </w:tc>
        <w:tc>
          <w:tcPr>
            <w:tcW w:type="dxa" w:w="864"/>
          </w:tcPr>
          <w:p>
            <w:r>
              <w:t>Steel</w:t>
            </w:r>
          </w:p>
        </w:tc>
        <w:tc>
          <w:tcPr>
            <w:tcW w:type="dxa" w:w="864"/>
          </w:tcPr>
          <w:p>
            <w:r>
              <w:t>108</w:t>
            </w:r>
          </w:p>
        </w:tc>
        <w:tc>
          <w:tcPr>
            <w:tcW w:type="dxa" w:w="864"/>
          </w:tcPr>
          <w:p>
            <w:r>
              <w:t>A400 (FS)</w:t>
            </w:r>
          </w:p>
        </w:tc>
        <w:tc>
          <w:tcPr>
            <w:tcW w:type="dxa" w:w="864"/>
          </w:tcPr>
          <w:p>
            <w:r>
              <w:t>2026-03-03</w:t>
            </w:r>
          </w:p>
        </w:tc>
        <w:tc>
          <w:tcPr>
            <w:tcW w:type="dxa" w:w="864"/>
          </w:tcPr>
          <w:p>
            <w:r>
              <w:t>2026-06-19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Y</w:t>
            </w:r>
          </w:p>
        </w:tc>
      </w:tr>
      <w:tr>
        <w:tc>
          <w:tcPr>
            <w:tcW w:type="dxa" w:w="864"/>
          </w:tcPr>
          <w:p>
            <w:r>
              <w:t>A500</w:t>
            </w:r>
          </w:p>
        </w:tc>
        <w:tc>
          <w:tcPr>
            <w:tcW w:type="dxa" w:w="864"/>
          </w:tcPr>
          <w:p>
            <w:r>
              <w:t>Structural steel erection</w:t>
            </w:r>
          </w:p>
        </w:tc>
        <w:tc>
          <w:tcPr>
            <w:tcW w:type="dxa" w:w="864"/>
          </w:tcPr>
          <w:p>
            <w:r>
              <w:t>Structure</w:t>
            </w:r>
          </w:p>
        </w:tc>
        <w:tc>
          <w:tcPr>
            <w:tcW w:type="dxa" w:w="864"/>
          </w:tcPr>
          <w:p>
            <w:r>
              <w:t>Steel</w:t>
            </w:r>
          </w:p>
        </w:tc>
        <w:tc>
          <w:tcPr>
            <w:tcW w:type="dxa" w:w="864"/>
          </w:tcPr>
          <w:p>
            <w:r>
              <w:t>25</w:t>
            </w:r>
          </w:p>
        </w:tc>
        <w:tc>
          <w:tcPr>
            <w:tcW w:type="dxa" w:w="864"/>
          </w:tcPr>
          <w:p>
            <w:r>
              <w:t>A310 (FS), A410 (FS)</w:t>
            </w:r>
          </w:p>
        </w:tc>
        <w:tc>
          <w:tcPr>
            <w:tcW w:type="dxa" w:w="864"/>
          </w:tcPr>
          <w:p>
            <w:r>
              <w:t>2026-06-20</w:t>
            </w:r>
          </w:p>
        </w:tc>
        <w:tc>
          <w:tcPr>
            <w:tcW w:type="dxa" w:w="864"/>
          </w:tcPr>
          <w:p>
            <w:r>
              <w:t>2026-07-22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Y</w:t>
            </w:r>
          </w:p>
        </w:tc>
      </w:tr>
      <w:tr>
        <w:tc>
          <w:tcPr>
            <w:tcW w:type="dxa" w:w="864"/>
          </w:tcPr>
          <w:p>
            <w:r>
              <w:t>…</w:t>
            </w:r>
          </w:p>
        </w:tc>
        <w:tc>
          <w:tcPr>
            <w:tcW w:type="dxa" w:w="864"/>
          </w:tcPr>
          <w:p>
            <w:r>
              <w:t>(continue for all activities)</w:t>
            </w:r>
          </w:p>
        </w:tc>
        <w:tc>
          <w:tcPr>
            <w:tcW w:type="dxa" w:w="864"/>
          </w:tcPr>
          <w:p>
            <w:r>
              <w:t>…</w:t>
            </w:r>
          </w:p>
        </w:tc>
        <w:tc>
          <w:tcPr>
            <w:tcW w:type="dxa" w:w="864"/>
          </w:tcPr>
          <w:p>
            <w:r>
              <w:t>…</w:t>
            </w:r>
          </w:p>
        </w:tc>
        <w:tc>
          <w:tcPr>
            <w:tcW w:type="dxa" w:w="864"/>
          </w:tcPr>
          <w:p>
            <w:r>
              <w:t>…</w:t>
            </w:r>
          </w:p>
        </w:tc>
        <w:tc>
          <w:tcPr>
            <w:tcW w:type="dxa" w:w="864"/>
          </w:tcPr>
          <w:p>
            <w:r>
              <w:t>…</w:t>
            </w:r>
          </w:p>
        </w:tc>
        <w:tc>
          <w:tcPr>
            <w:tcW w:type="dxa" w:w="864"/>
          </w:tcPr>
          <w:p>
            <w:r>
              <w:t>…</w:t>
            </w:r>
          </w:p>
        </w:tc>
        <w:tc>
          <w:tcPr>
            <w:tcW w:type="dxa" w:w="864"/>
          </w:tcPr>
          <w:p>
            <w:r>
              <w:t>…</w:t>
            </w:r>
          </w:p>
        </w:tc>
        <w:tc>
          <w:tcPr>
            <w:tcW w:type="dxa" w:w="864"/>
          </w:tcPr>
          <w:p>
            <w:r>
              <w:t>…</w:t>
            </w:r>
          </w:p>
        </w:tc>
        <w:tc>
          <w:tcPr>
            <w:tcW w:type="dxa" w:w="864"/>
          </w:tcPr>
          <w:p>
            <w:r>
              <w:t>…</w:t>
            </w:r>
          </w:p>
        </w:tc>
      </w:tr>
      <w:tr>
        <w:tc>
          <w:tcPr>
            <w:tcW w:type="dxa" w:w="864"/>
          </w:tcPr>
          <w:p>
            <w:r>
              <w:t>A990</w:t>
            </w:r>
          </w:p>
        </w:tc>
        <w:tc>
          <w:tcPr>
            <w:tcW w:type="dxa" w:w="864"/>
          </w:tcPr>
          <w:p>
            <w:r>
              <w:t>Substantial Completion</w:t>
            </w:r>
          </w:p>
        </w:tc>
        <w:tc>
          <w:tcPr>
            <w:tcW w:type="dxa" w:w="864"/>
          </w:tcPr>
          <w:p>
            <w:r>
              <w:t>Closeout</w:t>
            </w:r>
          </w:p>
        </w:tc>
        <w:tc>
          <w:tcPr>
            <w:tcW w:type="dxa" w:w="864"/>
          </w:tcPr>
          <w:p>
            <w:r>
              <w:t>—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(many predecessors)</w:t>
            </w:r>
          </w:p>
        </w:tc>
        <w:tc>
          <w:tcPr>
            <w:tcW w:type="dxa" w:w="864"/>
          </w:tcPr>
          <w:p>
            <w:r>
              <w:t>2027-02-15</w:t>
            </w:r>
          </w:p>
        </w:tc>
        <w:tc>
          <w:tcPr>
            <w:tcW w:type="dxa" w:w="864"/>
          </w:tcPr>
          <w:p>
            <w:r>
              <w:t>2027-02-15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Y</w:t>
            </w:r>
          </w:p>
        </w:tc>
      </w:tr>
      <w:tr>
        <w:tc>
          <w:tcPr>
            <w:tcW w:type="dxa" w:w="864"/>
          </w:tcPr>
          <w:p>
            <w:r>
              <w:t>A999</w:t>
            </w:r>
          </w:p>
        </w:tc>
        <w:tc>
          <w:tcPr>
            <w:tcW w:type="dxa" w:w="864"/>
          </w:tcPr>
          <w:p>
            <w:r>
              <w:t>Final Completion</w:t>
            </w:r>
          </w:p>
        </w:tc>
        <w:tc>
          <w:tcPr>
            <w:tcW w:type="dxa" w:w="864"/>
          </w:tcPr>
          <w:p>
            <w:r>
              <w:t>Closeout</w:t>
            </w:r>
          </w:p>
        </w:tc>
        <w:tc>
          <w:tcPr>
            <w:tcW w:type="dxa" w:w="864"/>
          </w:tcPr>
          <w:p>
            <w:r>
              <w:t>—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A990 (FS) + 30</w:t>
            </w:r>
          </w:p>
        </w:tc>
        <w:tc>
          <w:tcPr>
            <w:tcW w:type="dxa" w:w="864"/>
          </w:tcPr>
          <w:p>
            <w:r>
              <w:t>2027-03-17</w:t>
            </w:r>
          </w:p>
        </w:tc>
        <w:tc>
          <w:tcPr>
            <w:tcW w:type="dxa" w:w="864"/>
          </w:tcPr>
          <w:p>
            <w:r>
              <w:t>2027-03-17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Y</w:t>
            </w:r>
          </w:p>
        </w:tc>
      </w:tr>
    </w:tbl>
    <w:p>
      <w:r>
        <w:br/>
      </w:r>
      <w:r>
        <w:rPr>
          <w:b/>
        </w:rPr>
        <w:t>Relations:</w:t>
      </w:r>
      <w:r>
        <w:t xml:space="preserve"> FS = Finish-to-Start (most common — successor cannot start until predecessor finishes); SS = Start-to-Start; FF = Finish-to-Finish; SF = Start-to-Finish (rare). </w:t>
      </w:r>
      <w:r>
        <w:rPr>
          <w:b/>
        </w:rPr>
        <w:t>Lag:</w:t>
      </w:r>
      <w:r>
        <w:t xml:space="preserve"> "+ 30" means a 30-day lag between predecessor finish and successor start (e.g., concrete cure time). </w:t>
      </w:r>
      <w:r>
        <w:rPr>
          <w:b/>
        </w:rPr>
        <w:t>Critical?:</w:t>
      </w:r>
      <w:r>
        <w:t xml:space="preserve"> Y = activity is on the critical path (zero float — any slip delays the project); N = activity has float and can absorb some slip without affecting the project end. </w:t>
      </w:r>
      <w:r>
        <w:rPr>
          <w:b/>
        </w:rPr>
        <w:t>Float:</w:t>
      </w:r>
      <w:r>
        <w:t xml:space="preserve"> the number of calendar days the activity can be delayed without delaying the project end.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Milestone</w:t>
            </w:r>
          </w:p>
        </w:tc>
        <w:tc>
          <w:tcPr>
            <w:tcW w:type="dxa" w:w="2880"/>
          </w:tcPr>
          <w:p>
            <w:r>
              <w:t>Baseline Date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</w:tr>
      <w:tr>
        <w:tc>
          <w:tcPr>
            <w:tcW w:type="dxa" w:w="2880"/>
          </w:tcPr>
          <w:p>
            <w:r>
              <w:t>Notice to Proceed</w:t>
            </w:r>
          </w:p>
        </w:tc>
        <w:tc>
          <w:tcPr>
            <w:tcW w:type="dxa" w:w="2880"/>
          </w:tcPr>
          <w:p>
            <w:r>
              <w:t>[Date]</w:t>
            </w:r>
          </w:p>
        </w:tc>
        <w:tc>
          <w:tcPr>
            <w:tcW w:type="dxa" w:w="2880"/>
          </w:tcPr>
          <w:p>
            <w:r>
              <w:t>Mandatory (contract)</w:t>
            </w:r>
          </w:p>
        </w:tc>
      </w:tr>
      <w:tr>
        <w:tc>
          <w:tcPr>
            <w:tcW w:type="dxa" w:w="2880"/>
          </w:tcPr>
          <w:p>
            <w:r>
              <w:t>Mobilization Complete</w:t>
            </w:r>
          </w:p>
        </w:tc>
        <w:tc>
          <w:tcPr>
            <w:tcW w:type="dxa" w:w="2880"/>
          </w:tcPr>
          <w:p>
            <w:r>
              <w:t>[Date]</w:t>
            </w:r>
          </w:p>
        </w:tc>
        <w:tc>
          <w:tcPr>
            <w:tcW w:type="dxa" w:w="2880"/>
          </w:tcPr>
          <w:p>
            <w:r>
              <w:t>Required precedent</w:t>
            </w:r>
          </w:p>
        </w:tc>
      </w:tr>
      <w:tr>
        <w:tc>
          <w:tcPr>
            <w:tcW w:type="dxa" w:w="2880"/>
          </w:tcPr>
          <w:p>
            <w:r>
              <w:t>Foundation Complete</w:t>
            </w:r>
          </w:p>
        </w:tc>
        <w:tc>
          <w:tcPr>
            <w:tcW w:type="dxa" w:w="2880"/>
          </w:tcPr>
          <w:p>
            <w:r>
              <w:t>[Date]</w:t>
            </w:r>
          </w:p>
        </w:tc>
        <w:tc>
          <w:tcPr>
            <w:tcW w:type="dxa" w:w="2880"/>
          </w:tcPr>
          <w:p>
            <w:r>
              <w:t>Critical path</w:t>
            </w:r>
          </w:p>
        </w:tc>
      </w:tr>
      <w:tr>
        <w:tc>
          <w:tcPr>
            <w:tcW w:type="dxa" w:w="2880"/>
          </w:tcPr>
          <w:p>
            <w:r>
              <w:t>Steel Topped Out</w:t>
            </w:r>
          </w:p>
        </w:tc>
        <w:tc>
          <w:tcPr>
            <w:tcW w:type="dxa" w:w="2880"/>
          </w:tcPr>
          <w:p>
            <w:r>
              <w:t>[Date]</w:t>
            </w:r>
          </w:p>
        </w:tc>
        <w:tc>
          <w:tcPr>
            <w:tcW w:type="dxa" w:w="2880"/>
          </w:tcPr>
          <w:p>
            <w:r>
              <w:t>Critical path / progress milestone</w:t>
            </w:r>
          </w:p>
        </w:tc>
      </w:tr>
      <w:tr>
        <w:tc>
          <w:tcPr>
            <w:tcW w:type="dxa" w:w="2880"/>
          </w:tcPr>
          <w:p>
            <w:r>
              <w:t>Building Dry-In (roof + exterior closed)</w:t>
            </w:r>
          </w:p>
        </w:tc>
        <w:tc>
          <w:tcPr>
            <w:tcW w:type="dxa" w:w="2880"/>
          </w:tcPr>
          <w:p>
            <w:r>
              <w:t>[Date]</w:t>
            </w:r>
          </w:p>
        </w:tc>
        <w:tc>
          <w:tcPr>
            <w:tcW w:type="dxa" w:w="2880"/>
          </w:tcPr>
          <w:p>
            <w:r>
              <w:t>Critical path / weather threshold</w:t>
            </w:r>
          </w:p>
        </w:tc>
      </w:tr>
      <w:tr>
        <w:tc>
          <w:tcPr>
            <w:tcW w:type="dxa" w:w="2880"/>
          </w:tcPr>
          <w:p>
            <w:r>
              <w:t>MEP Rough-In Complete</w:t>
            </w:r>
          </w:p>
        </w:tc>
        <w:tc>
          <w:tcPr>
            <w:tcW w:type="dxa" w:w="2880"/>
          </w:tcPr>
          <w:p>
            <w:r>
              <w:t>[Date]</w:t>
            </w:r>
          </w:p>
        </w:tc>
        <w:tc>
          <w:tcPr>
            <w:tcW w:type="dxa" w:w="2880"/>
          </w:tcPr>
          <w:p>
            <w:r>
              <w:t>Critical path</w:t>
            </w:r>
          </w:p>
        </w:tc>
      </w:tr>
      <w:tr>
        <w:tc>
          <w:tcPr>
            <w:tcW w:type="dxa" w:w="2880"/>
          </w:tcPr>
          <w:p>
            <w:r>
              <w:t>Drywall Complete</w:t>
            </w:r>
          </w:p>
        </w:tc>
        <w:tc>
          <w:tcPr>
            <w:tcW w:type="dxa" w:w="2880"/>
          </w:tcPr>
          <w:p>
            <w:r>
              <w:t>[Date]</w:t>
            </w:r>
          </w:p>
        </w:tc>
        <w:tc>
          <w:tcPr>
            <w:tcW w:type="dxa" w:w="2880"/>
          </w:tcPr>
          <w:p>
            <w:r>
              <w:t>Critical path</w:t>
            </w:r>
          </w:p>
        </w:tc>
      </w:tr>
      <w:tr>
        <w:tc>
          <w:tcPr>
            <w:tcW w:type="dxa" w:w="2880"/>
          </w:tcPr>
          <w:p>
            <w:r>
              <w:t>Finishes Complete</w:t>
            </w:r>
          </w:p>
        </w:tc>
        <w:tc>
          <w:tcPr>
            <w:tcW w:type="dxa" w:w="2880"/>
          </w:tcPr>
          <w:p>
            <w:r>
              <w:t>[Date]</w:t>
            </w:r>
          </w:p>
        </w:tc>
        <w:tc>
          <w:tcPr>
            <w:tcW w:type="dxa" w:w="2880"/>
          </w:tcPr>
          <w:p>
            <w:r>
              <w:t>Critical path</w:t>
            </w:r>
          </w:p>
        </w:tc>
      </w:tr>
      <w:tr>
        <w:tc>
          <w:tcPr>
            <w:tcW w:type="dxa" w:w="2880"/>
          </w:tcPr>
          <w:p>
            <w:r>
              <w:t>Commissioning Complete</w:t>
            </w:r>
          </w:p>
        </w:tc>
        <w:tc>
          <w:tcPr>
            <w:tcW w:type="dxa" w:w="2880"/>
          </w:tcPr>
          <w:p>
            <w:r>
              <w:t>[Date]</w:t>
            </w:r>
          </w:p>
        </w:tc>
        <w:tc>
          <w:tcPr>
            <w:tcW w:type="dxa" w:w="2880"/>
          </w:tcPr>
          <w:p>
            <w:r>
              <w:t>Required precedent for SC</w:t>
            </w:r>
          </w:p>
        </w:tc>
      </w:tr>
      <w:tr>
        <w:tc>
          <w:tcPr>
            <w:tcW w:type="dxa" w:w="2880"/>
          </w:tcPr>
          <w:p>
            <w:r>
              <w:t>Substantial Completion</w:t>
            </w:r>
          </w:p>
        </w:tc>
        <w:tc>
          <w:tcPr>
            <w:tcW w:type="dxa" w:w="2880"/>
          </w:tcPr>
          <w:p>
            <w:r>
              <w:t>[Date — per contract]</w:t>
            </w:r>
          </w:p>
        </w:tc>
        <w:tc>
          <w:tcPr>
            <w:tcW w:type="dxa" w:w="2880"/>
          </w:tcPr>
          <w:p>
            <w:r>
              <w:t>Mandatory (contract)</w:t>
            </w:r>
          </w:p>
        </w:tc>
      </w:tr>
      <w:tr>
        <w:tc>
          <w:tcPr>
            <w:tcW w:type="dxa" w:w="2880"/>
          </w:tcPr>
          <w:p>
            <w:r>
              <w:t>Final Completion</w:t>
            </w:r>
          </w:p>
        </w:tc>
        <w:tc>
          <w:tcPr>
            <w:tcW w:type="dxa" w:w="2880"/>
          </w:tcPr>
          <w:p>
            <w:r>
              <w:t>[Date — per contract]</w:t>
            </w:r>
          </w:p>
        </w:tc>
        <w:tc>
          <w:tcPr>
            <w:tcW w:type="dxa" w:w="2880"/>
          </w:tcPr>
          <w:p>
            <w:r>
              <w:t>Mandatory (contract)</w:t>
            </w:r>
          </w:p>
        </w:tc>
      </w:tr>
    </w:tbl>
    <w:p>
      <w:r>
        <w:t>The 3-Week Look-Ahead is the operational schedule used at weekly trade coordination meetings. It shows what each trade is doing in the current week, the next week, and the week after that — at the trade-by-trade work-area-by-work-area level. Updated every week. Posted at the job trailer. Distributed to every trade sub PM and superintendent before each coordination meeting.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Trade / Sub</w:t>
            </w:r>
          </w:p>
        </w:tc>
        <w:tc>
          <w:tcPr>
            <w:tcW w:type="dxa" w:w="1234"/>
          </w:tcPr>
          <w:p>
            <w:r>
              <w:t>Work Area</w:t>
            </w:r>
          </w:p>
        </w:tc>
        <w:tc>
          <w:tcPr>
            <w:tcW w:type="dxa" w:w="1234"/>
          </w:tcPr>
          <w:p>
            <w:r>
              <w:t>Week 1(Current)</w:t>
            </w:r>
          </w:p>
        </w:tc>
        <w:tc>
          <w:tcPr>
            <w:tcW w:type="dxa" w:w="1234"/>
          </w:tcPr>
          <w:p>
            <w:r>
              <w:t>Week 2(Next)</w:t>
            </w:r>
          </w:p>
        </w:tc>
        <w:tc>
          <w:tcPr>
            <w:tcW w:type="dxa" w:w="1234"/>
          </w:tcPr>
          <w:p>
            <w:r>
              <w:t>Week 3(Following)</w:t>
            </w:r>
          </w:p>
        </w:tc>
        <w:tc>
          <w:tcPr>
            <w:tcW w:type="dxa" w:w="1234"/>
          </w:tcPr>
          <w:p>
            <w:r>
              <w:t>Crew Size</w:t>
            </w:r>
          </w:p>
        </w:tc>
        <w:tc>
          <w:tcPr>
            <w:tcW w:type="dxa" w:w="1234"/>
          </w:tcPr>
          <w:p>
            <w:r>
              <w:t>Coordination Notes / Conflicts</w:t>
            </w:r>
          </w:p>
        </w:tc>
      </w:tr>
      <w:tr>
        <w:tc>
          <w:tcPr>
            <w:tcW w:type="dxa" w:w="1234"/>
          </w:tcPr>
          <w:p>
            <w:r>
              <w:t>— SAMPLE WEEK (typical mid-construction; floor framing complete, MEP rough-in active) —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Concrete (Div 03)ABC Concrete</w:t>
            </w:r>
          </w:p>
        </w:tc>
        <w:tc>
          <w:tcPr>
            <w:tcW w:type="dxa" w:w="1234"/>
          </w:tcPr>
          <w:p>
            <w:r>
              <w:t>Level 4 elev. slab</w:t>
            </w:r>
          </w:p>
        </w:tc>
        <w:tc>
          <w:tcPr>
            <w:tcW w:type="dxa" w:w="1234"/>
          </w:tcPr>
          <w:p>
            <w:r>
              <w:t>Form &amp; rebar L4 (Mon-Wed); pour Thu</w:t>
            </w:r>
          </w:p>
        </w:tc>
        <w:tc>
          <w:tcPr>
            <w:tcW w:type="dxa" w:w="1234"/>
          </w:tcPr>
          <w:p>
            <w:r>
              <w:t>Strip + cure L4 (Mon-Wed); start L5 form Thu</w:t>
            </w:r>
          </w:p>
        </w:tc>
        <w:tc>
          <w:tcPr>
            <w:tcW w:type="dxa" w:w="1234"/>
          </w:tcPr>
          <w:p>
            <w:r>
              <w:t>Rebar L5; pour Fri</w:t>
            </w:r>
          </w:p>
        </w:tc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Need crane priority Thu morning for L4 pour. MEP rough-in must be inspected by Wed PM.</w:t>
            </w:r>
          </w:p>
        </w:tc>
      </w:tr>
      <w:tr>
        <w:tc>
          <w:tcPr>
            <w:tcW w:type="dxa" w:w="1234"/>
          </w:tcPr>
          <w:p>
            <w:r>
              <w:t>Steel (Div 05)XYZ Steel</w:t>
            </w:r>
          </w:p>
        </w:tc>
        <w:tc>
          <w:tcPr>
            <w:tcW w:type="dxa" w:w="1234"/>
          </w:tcPr>
          <w:p>
            <w:r>
              <w:t>L3-L5 stairs &amp; railings</w:t>
            </w:r>
          </w:p>
        </w:tc>
        <w:tc>
          <w:tcPr>
            <w:tcW w:type="dxa" w:w="1234"/>
          </w:tcPr>
          <w:p>
            <w:r>
              <w:t>L3 stair install (Mon-Tue); L4 rail install (Wed-Fri)</w:t>
            </w:r>
          </w:p>
        </w:tc>
        <w:tc>
          <w:tcPr>
            <w:tcW w:type="dxa" w:w="1234"/>
          </w:tcPr>
          <w:p>
            <w:r>
              <w:t>L4 stair install; L5 rail install</w:t>
            </w:r>
          </w:p>
        </w:tc>
        <w:tc>
          <w:tcPr>
            <w:tcW w:type="dxa" w:w="1234"/>
          </w:tcPr>
          <w:p>
            <w:r>
              <w:t>L5 stair install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Rail install on L4 must wait for L4 slab cure (5 days) before securing posts.</w:t>
            </w:r>
          </w:p>
        </w:tc>
      </w:tr>
      <w:tr>
        <w:tc>
          <w:tcPr>
            <w:tcW w:type="dxa" w:w="1234"/>
          </w:tcPr>
          <w:p>
            <w:r>
              <w:t>Mech / HVAC (Div 23)ABC Mech</w:t>
            </w:r>
          </w:p>
        </w:tc>
        <w:tc>
          <w:tcPr>
            <w:tcW w:type="dxa" w:w="1234"/>
          </w:tcPr>
          <w:p>
            <w:r>
              <w:t>L3 above-ceiling MEP rough</w:t>
            </w:r>
          </w:p>
        </w:tc>
        <w:tc>
          <w:tcPr>
            <w:tcW w:type="dxa" w:w="1234"/>
          </w:tcPr>
          <w:p>
            <w:r>
              <w:t>Hang ductwork L3 zones 1-2</w:t>
            </w:r>
          </w:p>
        </w:tc>
        <w:tc>
          <w:tcPr>
            <w:tcW w:type="dxa" w:w="1234"/>
          </w:tcPr>
          <w:p>
            <w:r>
              <w:t>Hang ductwork L3 zone 3; start L4</w:t>
            </w:r>
          </w:p>
        </w:tc>
        <w:tc>
          <w:tcPr>
            <w:tcW w:type="dxa" w:w="1234"/>
          </w:tcPr>
          <w:p>
            <w:r>
              <w:t>Pre-test L3 ductwork; continue L4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L3 ceiling closure scheduled wk 4 — duct must be tested + signed off by then.</w:t>
            </w:r>
          </w:p>
        </w:tc>
      </w:tr>
      <w:tr>
        <w:tc>
          <w:tcPr>
            <w:tcW w:type="dxa" w:w="1234"/>
          </w:tcPr>
          <w:p>
            <w:r>
              <w:t>Plumbing (Div 22)QRS Plumbing</w:t>
            </w:r>
          </w:p>
        </w:tc>
        <w:tc>
          <w:tcPr>
            <w:tcW w:type="dxa" w:w="1234"/>
          </w:tcPr>
          <w:p>
            <w:r>
              <w:t>L3 above-ceiling rough</w:t>
            </w:r>
          </w:p>
        </w:tc>
        <w:tc>
          <w:tcPr>
            <w:tcW w:type="dxa" w:w="1234"/>
          </w:tcPr>
          <w:p>
            <w:r>
              <w:t>Above-ceiling drain &amp; vent L3 zone 1</w:t>
            </w:r>
          </w:p>
        </w:tc>
        <w:tc>
          <w:tcPr>
            <w:tcW w:type="dxa" w:w="1234"/>
          </w:tcPr>
          <w:p>
            <w:r>
              <w:t>Above-ceiling drain &amp; vent L3 zones 2-3</w:t>
            </w:r>
          </w:p>
        </w:tc>
        <w:tc>
          <w:tcPr>
            <w:tcW w:type="dxa" w:w="1234"/>
          </w:tcPr>
          <w:p>
            <w:r>
              <w:t>Pressure test L3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Coordinate with HVAC on overhead routing — conflict at L3 column line C-7 needs resolution Mon AM.</w:t>
            </w:r>
          </w:p>
        </w:tc>
      </w:tr>
      <w:tr>
        <w:tc>
          <w:tcPr>
            <w:tcW w:type="dxa" w:w="1234"/>
          </w:tcPr>
          <w:p>
            <w:r>
              <w:t>Electrical (Div 26)EFG Elec</w:t>
            </w:r>
          </w:p>
        </w:tc>
        <w:tc>
          <w:tcPr>
            <w:tcW w:type="dxa" w:w="1234"/>
          </w:tcPr>
          <w:p>
            <w:r>
              <w:t>L3 above-ceiling + L2 wall rough</w:t>
            </w:r>
          </w:p>
        </w:tc>
        <w:tc>
          <w:tcPr>
            <w:tcW w:type="dxa" w:w="1234"/>
          </w:tcPr>
          <w:p>
            <w:r>
              <w:t>L3 above-ceiling conduit zones 1-2; L2 wall rough zone 3</w:t>
            </w:r>
          </w:p>
        </w:tc>
        <w:tc>
          <w:tcPr>
            <w:tcW w:type="dxa" w:w="1234"/>
          </w:tcPr>
          <w:p>
            <w:r>
              <w:t>L3 above-ceiling zone 3; L2 wall rough zones 1-2</w:t>
            </w:r>
          </w:p>
        </w:tc>
        <w:tc>
          <w:tcPr>
            <w:tcW w:type="dxa" w:w="1234"/>
          </w:tcPr>
          <w:p>
            <w:r>
              <w:t>L2 wall rough complete; pre-inspect</w:t>
            </w:r>
          </w:p>
        </w:tc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Need inspector for L2 wall rough end of wk 3 — submit inspection request by Wed wk 2.</w:t>
            </w:r>
          </w:p>
        </w:tc>
      </w:tr>
      <w:tr>
        <w:tc>
          <w:tcPr>
            <w:tcW w:type="dxa" w:w="1234"/>
          </w:tcPr>
          <w:p>
            <w:r>
              <w:t>Drywall (Div 09)HIJ Drywall</w:t>
            </w:r>
          </w:p>
        </w:tc>
        <w:tc>
          <w:tcPr>
            <w:tcW w:type="dxa" w:w="1234"/>
          </w:tcPr>
          <w:p>
            <w:r>
              <w:t>L1 finishing; L2 framing</w:t>
            </w:r>
          </w:p>
        </w:tc>
        <w:tc>
          <w:tcPr>
            <w:tcW w:type="dxa" w:w="1234"/>
          </w:tcPr>
          <w:p>
            <w:r>
              <w:t>Finish drywall L1 zones 1-2 (complete by Wed)</w:t>
            </w:r>
          </w:p>
        </w:tc>
        <w:tc>
          <w:tcPr>
            <w:tcW w:type="dxa" w:w="1234"/>
          </w:tcPr>
          <w:p>
            <w:r>
              <w:t>L2 wall framing zones 1-2 (Mon-Thu)</w:t>
            </w:r>
          </w:p>
        </w:tc>
        <w:tc>
          <w:tcPr>
            <w:tcW w:type="dxa" w:w="1234"/>
          </w:tcPr>
          <w:p>
            <w:r>
              <w:t>L2 wall framing zone 3; start drywall L1 zone 3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L1 finishing held until L1 MEP rough re-inspection cleared Tue.</w:t>
            </w:r>
          </w:p>
        </w:tc>
      </w:tr>
      <w:tr>
        <w:tc>
          <w:tcPr>
            <w:tcW w:type="dxa" w:w="1234"/>
          </w:tcPr>
          <w:p>
            <w:r>
              <w:t>Roofing (Div 07)RoofCo</w:t>
            </w:r>
          </w:p>
        </w:tc>
        <w:tc>
          <w:tcPr>
            <w:tcW w:type="dxa" w:w="1234"/>
          </w:tcPr>
          <w:p>
            <w:r>
              <w:t>Membrane install</w:t>
            </w:r>
          </w:p>
        </w:tc>
        <w:tc>
          <w:tcPr>
            <w:tcW w:type="dxa" w:w="1234"/>
          </w:tcPr>
          <w:p>
            <w:r>
              <w:t>Membrane sections 1-2 (weather permitting)</w:t>
            </w:r>
          </w:p>
        </w:tc>
        <w:tc>
          <w:tcPr>
            <w:tcW w:type="dxa" w:w="1234"/>
          </w:tcPr>
          <w:p>
            <w:r>
              <w:t>Membrane sections 3-4</w:t>
            </w:r>
          </w:p>
        </w:tc>
        <w:tc>
          <w:tcPr>
            <w:tcW w:type="dxa" w:w="1234"/>
          </w:tcPr>
          <w:p>
            <w:r>
              <w:t>Pre-cap inspection; start cap flashing</w:t>
            </w:r>
          </w:p>
        </w:tc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Weather-dependent. If rain forecast &gt;50% Tue/Wed wk 1, hold off membrane install.</w:t>
            </w:r>
          </w:p>
        </w:tc>
      </w:tr>
      <w:tr>
        <w:tc>
          <w:tcPr>
            <w:tcW w:type="dxa" w:w="1234"/>
          </w:tcPr>
          <w:p>
            <w:r>
              <w:t>Painting (Div 09)PaintPro</w:t>
            </w:r>
          </w:p>
        </w:tc>
        <w:tc>
          <w:tcPr>
            <w:tcW w:type="dxa" w:w="1234"/>
          </w:tcPr>
          <w:p>
            <w:r>
              <w:t>Mobilizing</w:t>
            </w:r>
          </w:p>
        </w:tc>
        <w:tc>
          <w:tcPr>
            <w:tcW w:type="dxa" w:w="1234"/>
          </w:tcPr>
          <w:p>
            <w:r>
              <w:t>Mobilize; submittals due</w:t>
            </w:r>
          </w:p>
        </w:tc>
        <w:tc>
          <w:tcPr>
            <w:tcW w:type="dxa" w:w="1234"/>
          </w:tcPr>
          <w:p>
            <w:r>
              <w:t>Submittal review; sample mock-up</w:t>
            </w:r>
          </w:p>
        </w:tc>
        <w:tc>
          <w:tcPr>
            <w:tcW w:type="dxa" w:w="1234"/>
          </w:tcPr>
          <w:p>
            <w:r>
              <w:t>Begin L1 priming (after drywall finish complete)</w:t>
            </w:r>
          </w:p>
        </w:tc>
        <w:tc>
          <w:tcPr>
            <w:tcW w:type="dxa" w:w="1234"/>
          </w:tcPr>
          <w:p>
            <w:r>
              <w:t>2 (mob)</w:t>
            </w:r>
          </w:p>
        </w:tc>
        <w:tc>
          <w:tcPr>
            <w:tcW w:type="dxa" w:w="1234"/>
          </w:tcPr>
          <w:p>
            <w:r>
              <w:t>Sample mock-up wk 2 — owner to attend approval. Schedule for Thu PM.</w:t>
            </w:r>
          </w:p>
        </w:tc>
      </w:tr>
      <w:tr>
        <w:tc>
          <w:tcPr>
            <w:tcW w:type="dxa" w:w="1234"/>
          </w:tcPr>
          <w:p>
            <w:r>
              <w:t>GC General Conditions</w:t>
            </w:r>
          </w:p>
        </w:tc>
        <w:tc>
          <w:tcPr>
            <w:tcW w:type="dxa" w:w="1234"/>
          </w:tcPr>
          <w:p>
            <w:r>
              <w:t>Site management</w:t>
            </w:r>
          </w:p>
        </w:tc>
        <w:tc>
          <w:tcPr>
            <w:tcW w:type="dxa" w:w="1234"/>
          </w:tcPr>
          <w:p>
            <w:r>
              <w:t>Crane scheduling; safety walks; coord meetings</w:t>
            </w:r>
          </w:p>
        </w:tc>
        <w:tc>
          <w:tcPr>
            <w:tcW w:type="dxa" w:w="1234"/>
          </w:tcPr>
          <w:p>
            <w:r>
              <w:t>Inspection scheduling; subcontractor billing reconciliation</w:t>
            </w:r>
          </w:p>
        </w:tc>
        <w:tc>
          <w:tcPr>
            <w:tcW w:type="dxa" w:w="1234"/>
          </w:tcPr>
          <w:p>
            <w:r>
              <w:t>Pay-app cycle; pencil draft with architect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Monthly architect pencil draft Thursday wk 3.</w:t>
            </w:r>
          </w:p>
        </w:tc>
      </w:tr>
    </w:tbl>
    <w:p>
      <w:r>
        <w:br/>
      </w:r>
      <w:r>
        <w:rPr>
          <w:b/>
        </w:rPr>
        <w:t>Color code:</w:t>
      </w:r>
      <w:r>
        <w:t xml:space="preserve"> green = activity scheduled to complete this week as planned · yellow = activity in progress on schedule · red = activity behind or with risk that needs attention. </w:t>
      </w:r>
      <w:r>
        <w:rPr>
          <w:b/>
        </w:rPr>
        <w:t>Coordination notes column</w:t>
      </w:r>
      <w:r>
        <w:t xml:space="preserve"> is critical — every conflict identified in advance is a resolved meeting item; every conflict not identified is a field re-do and a delay.</w:t>
        <w:br/>
        <w:t xml:space="preserve">            </w:t>
      </w:r>
    </w:p>
    <w:p>
      <w:r>
        <w:t>Most contracts require a monthly schedule update submitted with each Application for Payment. The update reflects actual progress (% complete on each in-progress activity), forecasts revised dates for upcoming activities, and identifies impact of any change orders or delays.</w:t>
      </w:r>
    </w:p>
    <w:p>
      <w:pPr>
        <w:pStyle w:val="ListNumber"/>
      </w:pPr>
      <w:r>
        <w:rPr>
          <w:b/>
        </w:rPr>
        <w:t>Capture actuals.</w:t>
      </w:r>
      <w:r>
        <w:t xml:space="preserve"> For each activity scheduled to be in progress or complete this period: record actual start, actual finish (if complete), and percent complete (if in progress).</w:t>
      </w:r>
    </w:p>
    <w:p>
      <w:pPr>
        <w:pStyle w:val="ListNumber"/>
      </w:pPr>
      <w:r>
        <w:rPr>
          <w:b/>
        </w:rPr>
        <w:t>Update remaining durations.</w:t>
      </w:r>
      <w:r>
        <w:t xml:space="preserve"> For each in-progress activity: update remaining duration based on field reality (often 1.2–1.5x the original duration for activities running behind).</w:t>
      </w:r>
    </w:p>
    <w:p>
      <w:pPr>
        <w:pStyle w:val="ListNumber"/>
      </w:pPr>
      <w:r>
        <w:rPr>
          <w:b/>
        </w:rPr>
        <w:t>Recalculate forward.</w:t>
      </w:r>
      <w:r>
        <w:t xml:space="preserve"> Run schedule recalculation. Identify which activities are now driving the new substantial completion date.</w:t>
      </w:r>
    </w:p>
    <w:p>
      <w:pPr>
        <w:pStyle w:val="ListNumber"/>
      </w:pPr>
      <w:r>
        <w:rPr>
          <w:b/>
        </w:rPr>
        <w:t>Compare to baseline.</w:t>
      </w:r>
      <w:r>
        <w:t xml:space="preserve"> Calculate variance: revised SC date vs. baseline SC date vs. contract SC date. If variance is positive (behind), identify recovery actions.</w:t>
      </w:r>
    </w:p>
    <w:p>
      <w:pPr>
        <w:pStyle w:val="ListNumber"/>
      </w:pPr>
      <w:r>
        <w:rPr>
          <w:b/>
        </w:rPr>
        <w:t>Identify recovery options.</w:t>
      </w:r>
      <w:r>
        <w:t xml:space="preserve"> If behind: which activities can be accelerated? Which can be re-sequenced? Where is there float that can absorb slip elsewhere?</w:t>
      </w:r>
    </w:p>
    <w:p>
      <w:pPr>
        <w:pStyle w:val="ListNumber"/>
      </w:pPr>
      <w:r>
        <w:rPr>
          <w:b/>
        </w:rPr>
        <w:t>Incorporate executed change orders.</w:t>
      </w:r>
      <w:r>
        <w:t xml:space="preserve"> Add new CO scope as new activities; revise existing activity durations / dependencies as the CO requires.</w:t>
      </w:r>
    </w:p>
    <w:p>
      <w:pPr>
        <w:pStyle w:val="ListNumber"/>
      </w:pPr>
      <w:r>
        <w:rPr>
          <w:b/>
        </w:rPr>
        <w:t>Identify pending impacts.</w:t>
      </w:r>
      <w:r>
        <w:t xml:space="preserve"> Pending change orders, open RFIs over 14 days, late owner-supplied items: flag potential schedule impact even if not yet quantified.</w:t>
      </w:r>
    </w:p>
    <w:p>
      <w:pPr>
        <w:pStyle w:val="ListNumber"/>
      </w:pPr>
      <w:r>
        <w:rPr>
          <w:b/>
        </w:rPr>
        <w:t>Issue updated schedule + narrative.</w:t>
      </w:r>
      <w:r>
        <w:t xml:space="preserve"> Submit with the monthly Application for Payment: updated CPM schedule (PDF + native file format), schedule narrative explaining variance from baseline and recovery plan, updated milestone dates.</w:t>
      </w:r>
    </w:p>
    <w:p>
      <w:pPr>
        <w:pStyle w:val="ListNumber"/>
      </w:pPr>
      <w:r>
        <w:rPr>
          <w:b/>
        </w:rPr>
        <w:t>Communicate to subs.</w:t>
      </w:r>
      <w:r>
        <w:t xml:space="preserve"> Distribute the updated 3-Week Look-Ahead reflecting any changes. Discuss in the next weekly coordination meeting.</w:t>
      </w:r>
    </w:p>
    <w:p>
      <w:pPr>
        <w:pStyle w:val="ListNumber"/>
      </w:pPr>
      <w:r>
        <w:rPr>
          <w:b/>
        </w:rPr>
        <w:t>Baseline within 30 days of NTP.</w:t>
      </w:r>
      <w:r>
        <w:t xml:space="preserve"> The Baseline is developed in the first 30 days. Submit to architect/owner; resolve comments; freeze as the contract baseline. Schedules that don't get baselined never get used.</w:t>
      </w:r>
    </w:p>
    <w:p>
      <w:pPr>
        <w:pStyle w:val="ListNumber"/>
      </w:pPr>
      <w:r>
        <w:rPr>
          <w:b/>
        </w:rPr>
        <w:t>Long-lead items identified day 1.</w:t>
      </w:r>
      <w:r>
        <w:t xml:space="preserve"> Within the first week of NTP, every long-lead procurement (steel, custom curtain wall, custom switchgear, custom MEP equipment, custom millwork, specialty AV) is on the schedule with the lead time as a real activity, not a footnote.</w:t>
      </w:r>
    </w:p>
    <w:p>
      <w:pPr>
        <w:pStyle w:val="ListNumber"/>
      </w:pPr>
      <w:r>
        <w:rPr>
          <w:b/>
        </w:rPr>
        <w:t>Every activity has a responsible party.</w:t>
      </w:r>
      <w:r>
        <w:t xml:space="preserve"> The schedule activity list assigns a responsible trade or sub for every line item — no orphan activities.</w:t>
      </w:r>
    </w:p>
    <w:p>
      <w:pPr>
        <w:pStyle w:val="ListNumber"/>
      </w:pPr>
      <w:r>
        <w:rPr>
          <w:b/>
        </w:rPr>
        <w:t>Critical path identified and visible.</w:t>
      </w:r>
      <w:r>
        <w:t xml:space="preserve"> Every monthly schedule update highlights the current critical path. Activities on the critical path get extra scrutiny in coordination meetings.</w:t>
      </w:r>
    </w:p>
    <w:p>
      <w:pPr>
        <w:pStyle w:val="ListNumber"/>
      </w:pPr>
      <w:r>
        <w:rPr>
          <w:b/>
        </w:rPr>
        <w:t>Float belongs to the project, not to the trade.</w:t>
      </w:r>
      <w:r>
        <w:t xml:space="preserve"> Float is a project resource — when one trade slips into another's float, both share the float. Don't let early trades consume all the float and leave later trades zero buffer.</w:t>
      </w:r>
    </w:p>
    <w:p>
      <w:pPr>
        <w:pStyle w:val="ListNumber"/>
      </w:pPr>
      <w:r>
        <w:rPr>
          <w:b/>
        </w:rPr>
        <w:t>Look-Ahead updated weekly, period.</w:t>
      </w:r>
      <w:r>
        <w:t xml:space="preserve"> Every Monday before noon, the Look-Ahead reflects Friday-actuals and is distributed to every sub. Don't skip weeks. Don't merge weeks.</w:t>
      </w:r>
    </w:p>
    <w:p>
      <w:pPr>
        <w:pStyle w:val="ListNumber"/>
      </w:pPr>
      <w:r>
        <w:rPr>
          <w:b/>
        </w:rPr>
        <w:t>Weekly coordination meeting walks the Look-Ahead.</w:t>
      </w:r>
      <w:r>
        <w:t xml:space="preserve"> The meeting agenda is the Look-Ahead — row by row, each sub confirms or flags conflicts. Meetings without the Look-Ahead in front of every attendee become rambling chat sessions.</w:t>
      </w:r>
    </w:p>
    <w:p>
      <w:pPr>
        <w:pStyle w:val="ListNumber"/>
      </w:pPr>
      <w:r>
        <w:rPr>
          <w:b/>
        </w:rPr>
        <w:t>Inspector and architect attendance scheduled in the Look-Ahead.</w:t>
      </w:r>
      <w:r>
        <w:t xml:space="preserve"> Inspections, architect site visits, owner walks — schedule them on the Look-Ahead so they don't become last-minute scrambles.</w:t>
      </w:r>
    </w:p>
    <w:p>
      <w:pPr>
        <w:pStyle w:val="ListNumber"/>
      </w:pPr>
      <w:r>
        <w:rPr>
          <w:b/>
        </w:rPr>
        <w:t>Weather-sensitive activities flagged.</w:t>
      </w:r>
      <w:r>
        <w:t xml:space="preserve"> Roofing, exterior masonry, asphalt paving, concrete pour in cold weather — flag in the Look-Ahead with the weather contingency.</w:t>
      </w:r>
    </w:p>
    <w:p>
      <w:pPr>
        <w:pStyle w:val="ListNumber"/>
      </w:pPr>
      <w:r>
        <w:rPr>
          <w:b/>
        </w:rPr>
        <w:t>Schedule narrative submitted monthly.</w:t>
      </w:r>
      <w:r>
        <w:t xml:space="preserve"> Plain-English 1–2 page narrative with the schedule update. Variance, critical path, recovery plan.</w:t>
      </w:r>
    </w:p>
    <w:p>
      <w:pPr>
        <w:pStyle w:val="ListNumber"/>
      </w:pPr>
      <w:r>
        <w:rPr>
          <w:b/>
        </w:rPr>
        <w:t>Time extensions documented as they occur.</w:t>
      </w:r>
      <w:r>
        <w:t xml:space="preserve"> When a delay event occurs (owner change, weather, late owner-supplied item, late RFI response), document the date, cause, and projected schedule impact. Submit time-extension request within the contract notice period (typically 7–14 days) — late requests are deemed waived.</w:t>
      </w:r>
    </w:p>
    <w:p>
      <w:pPr>
        <w:pStyle w:val="ListNumber"/>
      </w:pPr>
      <w:r>
        <w:rPr>
          <w:b/>
        </w:rPr>
        <w:t>Recovery schedule when behind by 10+ days.</w:t>
      </w:r>
      <w:r>
        <w:t xml:space="preserve"> If cumulative variance reaches 10 days behind baseline SC, issue a recovery schedule showing what acceleration is required and at what cost. Owner-decision-required: accept the slip, or fund the acceleration. Don't silently absorb 30 days of slip with no plan.</w:t>
      </w:r>
    </w:p>
    <w:p>
      <w:r>
        <w:t>Document version: 2026-05-15 (v1.0). Industry-standard CPM and short-interval scheduling practices. Maintained as part of the ContrPro Complete tier — General Contractor suite.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