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Tolerance compliance per AISC Code of Standard Practice §7.13 is the contractual definition of "plumb and true" for a steel erector. This guide is the procedural reference; </w:t>
      </w:r>
      <w:r>
        <w:rPr>
          <w:i/>
        </w:rPr>
        <w:t>Tolerance_Survey_Log.xlsx</w:t>
      </w:r>
      <w:r>
        <w:t xml:space="preserve"> captures the daily survey record. Together they form the evidence file demonstrating tolerance acceptance — which is the gate for cladding, MEP, and finish trades to start, and the gate for retainage release on the steel-erection subcontract.</w:t>
        <w:br/>
        <w:t xml:space="preserve">        </w:t>
      </w:r>
    </w:p>
    <w:p>
      <w:pPr>
        <w:pStyle w:val="ListNumber"/>
      </w:pPr>
      <w:r>
        <w:t>Section 1 — AISC §7.13 Framework</w:t>
      </w:r>
    </w:p>
    <w:p>
      <w:pPr>
        <w:pStyle w:val="ListNumber"/>
      </w:pPr>
      <w:r>
        <w:t>Section 2 — Erector vs. Fabricator vs. Owner Responsibilities</w:t>
      </w:r>
    </w:p>
    <w:p>
      <w:pPr>
        <w:pStyle w:val="ListNumber"/>
      </w:pPr>
      <w:r>
        <w:t>Section 3 — Anchor Rod Tolerances</w:t>
      </w:r>
    </w:p>
    <w:p>
      <w:pPr>
        <w:pStyle w:val="ListNumber"/>
      </w:pPr>
      <w:r>
        <w:t>Section 4 — Column Plumb Tolerance</w:t>
      </w:r>
    </w:p>
    <w:p>
      <w:pPr>
        <w:pStyle w:val="ListNumber"/>
      </w:pPr>
      <w:r>
        <w:t>Section 5 — Member Straightness &amp; Camber</w:t>
      </w:r>
    </w:p>
    <w:p>
      <w:pPr>
        <w:pStyle w:val="ListNumber"/>
      </w:pPr>
      <w:r>
        <w:t>Section 6 — Floor Elevation &amp; Levelness</w:t>
      </w:r>
    </w:p>
    <w:p>
      <w:pPr>
        <w:pStyle w:val="ListNumber"/>
      </w:pPr>
      <w:r>
        <w:t>Section 7 — Building Drift / Sway</w:t>
      </w:r>
    </w:p>
    <w:p>
      <w:pPr>
        <w:pStyle w:val="ListNumber"/>
      </w:pPr>
      <w:r>
        <w:t>Section 8 — Survey Methods &amp; Equipment</w:t>
      </w:r>
    </w:p>
    <w:p>
      <w:pPr>
        <w:pStyle w:val="ListNumber"/>
      </w:pPr>
      <w:r>
        <w:t>Section 9 — Survey Cadence (When &amp; How Often)</w:t>
      </w:r>
    </w:p>
    <w:p>
      <w:pPr>
        <w:pStyle w:val="ListNumber"/>
      </w:pPr>
      <w:r>
        <w:t>Section 10 — Out-of-Tolerance Protocol</w:t>
      </w:r>
    </w:p>
    <w:p>
      <w:pPr>
        <w:pStyle w:val="ListNumber"/>
      </w:pPr>
      <w:r>
        <w:t>Section 11 — As-Built Survey &amp; Sign-Off</w:t>
      </w:r>
    </w:p>
    <w:p>
      <w:r>
        <w:t>The §7.13 framework is built on three layers:</w:t>
      </w:r>
    </w:p>
    <w:p>
      <w:pPr>
        <w:pStyle w:val="ListNumber"/>
      </w:pPr>
      <w:r>
        <w:rPr>
          <w:b/>
        </w:rPr>
        <w:t>Mill tolerances</w:t>
      </w:r>
      <w:r>
        <w:t xml:space="preserve"> (ASTM A6, A500, A53, etc.) — the rolled-section out-of-straightness, sweep, and camber from the steel mill. These travel with the section as delivered to the fabricator. The erector is not responsible for these.</w:t>
      </w:r>
    </w:p>
    <w:p>
      <w:pPr>
        <w:pStyle w:val="ListNumber"/>
      </w:pPr>
      <w:r>
        <w:rPr>
          <w:b/>
        </w:rPr>
        <w:t>Fabrication tolerances</w:t>
      </w:r>
      <w:r>
        <w:t xml:space="preserve"> (AISC §6.4) — cut-to-length, hole spacing, bolt-pattern position, splice fit-up. Owned by the fabricator. The erector is not responsible for these.</w:t>
      </w:r>
    </w:p>
    <w:p>
      <w:pPr>
        <w:pStyle w:val="ListNumber"/>
      </w:pPr>
      <w:r>
        <w:rPr>
          <w:b/>
        </w:rPr>
        <w:t>Erection tolerances</w:t>
      </w:r>
      <w:r>
        <w:t xml:space="preserve"> (AISC §7.13) — column plumb, member position, floor elevation, building drift. </w:t>
      </w:r>
      <w:r>
        <w:rPr>
          <w:b/>
        </w:rPr>
        <w:t>This is the erector's domain.</w:t>
      </w:r>
      <w:r>
        <w:t xml:space="preserve"> This guide is about Section 7.13.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Tolerance Item</w:t>
            </w:r>
          </w:p>
        </w:tc>
        <w:tc>
          <w:tcPr>
            <w:tcW w:type="dxa" w:w="2880"/>
          </w:tcPr>
          <w:p>
            <w:r>
              <w:t>Responsible Party</w:t>
            </w:r>
          </w:p>
        </w:tc>
        <w:tc>
          <w:tcPr>
            <w:tcW w:type="dxa" w:w="2880"/>
          </w:tcPr>
          <w:p>
            <w:r>
              <w:t>Acceptance Document</w:t>
            </w:r>
          </w:p>
        </w:tc>
      </w:tr>
      <w:tr>
        <w:tc>
          <w:tcPr>
            <w:tcW w:type="dxa" w:w="2880"/>
          </w:tcPr>
          <w:p>
            <w:r>
              <w:t>Anchor rod position + stickup</w:t>
            </w:r>
          </w:p>
        </w:tc>
        <w:tc>
          <w:tcPr>
            <w:tcW w:type="dxa" w:w="2880"/>
          </w:tcPr>
          <w:p>
            <w:r>
              <w:t>Owner / Concrete sub</w:t>
            </w:r>
          </w:p>
        </w:tc>
        <w:tc>
          <w:tcPr>
            <w:tcW w:type="dxa" w:w="2880"/>
          </w:tcPr>
          <w:p>
            <w:r>
              <w:t>Anchor-rod survey delivered to erector before erection</w:t>
            </w:r>
          </w:p>
        </w:tc>
      </w:tr>
      <w:tr>
        <w:tc>
          <w:tcPr>
            <w:tcW w:type="dxa" w:w="2880"/>
          </w:tcPr>
          <w:p>
            <w:r>
              <w:t>Section straightness as delivered</w:t>
            </w:r>
          </w:p>
        </w:tc>
        <w:tc>
          <w:tcPr>
            <w:tcW w:type="dxa" w:w="2880"/>
          </w:tcPr>
          <w:p>
            <w:r>
              <w:t>Fabricator (within ASTM mill tolerance)</w:t>
            </w:r>
          </w:p>
        </w:tc>
        <w:tc>
          <w:tcPr>
            <w:tcW w:type="dxa" w:w="2880"/>
          </w:tcPr>
          <w:p>
            <w:r>
              <w:t>MTR + visual receipt at site</w:t>
            </w:r>
          </w:p>
        </w:tc>
      </w:tr>
      <w:tr>
        <w:tc>
          <w:tcPr>
            <w:tcW w:type="dxa" w:w="2880"/>
          </w:tcPr>
          <w:p>
            <w:r>
              <w:t>Section cut-to-length, hole pattern, bolt hole position</w:t>
            </w:r>
          </w:p>
        </w:tc>
        <w:tc>
          <w:tcPr>
            <w:tcW w:type="dxa" w:w="2880"/>
          </w:tcPr>
          <w:p>
            <w:r>
              <w:t>Fabricator</w:t>
            </w:r>
          </w:p>
        </w:tc>
        <w:tc>
          <w:tcPr>
            <w:tcW w:type="dxa" w:w="2880"/>
          </w:tcPr>
          <w:p>
            <w:r>
              <w:t>Shop-drawing approval + shop QA</w:t>
            </w:r>
          </w:p>
        </w:tc>
      </w:tr>
      <w:tr>
        <w:tc>
          <w:tcPr>
            <w:tcW w:type="dxa" w:w="2880"/>
          </w:tcPr>
          <w:p>
            <w:r>
              <w:t>Column plumb after erection</w:t>
            </w:r>
          </w:p>
        </w:tc>
        <w:tc>
          <w:tcPr>
            <w:tcW w:type="dxa" w:w="2880"/>
          </w:tcPr>
          <w:p>
            <w:r>
              <w:t>Erector</w:t>
            </w:r>
          </w:p>
        </w:tc>
        <w:tc>
          <w:tcPr>
            <w:tcW w:type="dxa" w:w="2880"/>
          </w:tcPr>
          <w:p>
            <w:r>
              <w:t>Plumb survey log + AISC §7.13.1.2</w:t>
            </w:r>
          </w:p>
        </w:tc>
      </w:tr>
      <w:tr>
        <w:tc>
          <w:tcPr>
            <w:tcW w:type="dxa" w:w="2880"/>
          </w:tcPr>
          <w:p>
            <w:r>
              <w:t>Beam level + camber preservation</w:t>
            </w:r>
          </w:p>
        </w:tc>
        <w:tc>
          <w:tcPr>
            <w:tcW w:type="dxa" w:w="2880"/>
          </w:tcPr>
          <w:p>
            <w:r>
              <w:t>Erector</w:t>
            </w:r>
          </w:p>
        </w:tc>
        <w:tc>
          <w:tcPr>
            <w:tcW w:type="dxa" w:w="2880"/>
          </w:tcPr>
          <w:p>
            <w:r>
              <w:t>Floor elevation survey log</w:t>
            </w:r>
          </w:p>
        </w:tc>
      </w:tr>
      <w:tr>
        <w:tc>
          <w:tcPr>
            <w:tcW w:type="dxa" w:w="2880"/>
          </w:tcPr>
          <w:p>
            <w:r>
              <w:t>Building drift</w:t>
            </w:r>
          </w:p>
        </w:tc>
        <w:tc>
          <w:tcPr>
            <w:tcW w:type="dxa" w:w="2880"/>
          </w:tcPr>
          <w:p>
            <w:r>
              <w:t>Erector (under the §7.13 envelope)</w:t>
            </w:r>
          </w:p>
        </w:tc>
        <w:tc>
          <w:tcPr>
            <w:tcW w:type="dxa" w:w="2880"/>
          </w:tcPr>
          <w:p>
            <w:r>
              <w:t>Floor-to-floor offset survey at top-out</w:t>
            </w:r>
          </w:p>
        </w:tc>
      </w:tr>
      <w:tr>
        <w:tc>
          <w:tcPr>
            <w:tcW w:type="dxa" w:w="2880"/>
          </w:tcPr>
          <w:p>
            <w:r>
              <w:t>Adjacent-trade interface (cladding embeds, MEP)</w:t>
            </w:r>
          </w:p>
        </w:tc>
        <w:tc>
          <w:tcPr>
            <w:tcW w:type="dxa" w:w="2880"/>
          </w:tcPr>
          <w:p>
            <w:r>
              <w:t>Negotiated — see Pre-Erection Meeting</w:t>
            </w:r>
          </w:p>
        </w:tc>
        <w:tc>
          <w:tcPr>
            <w:tcW w:type="dxa" w:w="2880"/>
          </w:tcPr>
          <w:p>
            <w:r>
              <w:t>Per Subcontract / interface drawings</w:t>
            </w:r>
          </w:p>
        </w:tc>
      </w:tr>
    </w:tbl>
    <w:p>
      <w:r>
        <w:t>Disputes over which party owns an out-of-tolerance condition are common; the AISC §4.4 General Conditions and the §7.13 tolerance schedule are the controlling references. Resolve via RFI — do not allow a dispute to delay downstream trades.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Tolerance</w:t>
            </w:r>
          </w:p>
        </w:tc>
        <w:tc>
          <w:tcPr>
            <w:tcW w:type="dxa" w:w="2880"/>
          </w:tcPr>
          <w:p>
            <w:r>
              <w:t>Limit</w:t>
            </w:r>
          </w:p>
        </w:tc>
        <w:tc>
          <w:tcPr>
            <w:tcW w:type="dxa" w:w="2880"/>
          </w:tcPr>
          <w:p>
            <w:r>
              <w:t>AISC §</w:t>
            </w:r>
          </w:p>
        </w:tc>
      </w:tr>
      <w:tr>
        <w:tc>
          <w:tcPr>
            <w:tcW w:type="dxa" w:w="2880"/>
          </w:tcPr>
          <w:p>
            <w:r>
              <w:t>Anchor rod position — single rod within a pattern</w:t>
            </w:r>
          </w:p>
        </w:tc>
        <w:tc>
          <w:tcPr>
            <w:tcW w:type="dxa" w:w="2880"/>
          </w:tcPr>
          <w:p>
            <w:r>
              <w:t>±1/8" max from theoretical</w:t>
            </w:r>
          </w:p>
        </w:tc>
        <w:tc>
          <w:tcPr>
            <w:tcW w:type="dxa" w:w="2880"/>
          </w:tcPr>
          <w:p>
            <w:r>
              <w:t>AISC §7.5.1</w:t>
            </w:r>
          </w:p>
        </w:tc>
      </w:tr>
      <w:tr>
        <w:tc>
          <w:tcPr>
            <w:tcW w:type="dxa" w:w="2880"/>
          </w:tcPr>
          <w:p>
            <w:r>
              <w:t>Anchor rod pattern position from column line</w:t>
            </w:r>
          </w:p>
        </w:tc>
        <w:tc>
          <w:tcPr>
            <w:tcW w:type="dxa" w:w="2880"/>
          </w:tcPr>
          <w:p>
            <w:r>
              <w:t>±1/4" max</w:t>
            </w:r>
          </w:p>
        </w:tc>
        <w:tc>
          <w:tcPr>
            <w:tcW w:type="dxa" w:w="2880"/>
          </w:tcPr>
          <w:p>
            <w:r>
              <w:t>AISC §7.5.1</w:t>
            </w:r>
          </w:p>
        </w:tc>
      </w:tr>
      <w:tr>
        <w:tc>
          <w:tcPr>
            <w:tcW w:type="dxa" w:w="2880"/>
          </w:tcPr>
          <w:p>
            <w:r>
              <w:t>Anchor rod stickup above top of concrete</w:t>
            </w:r>
          </w:p>
        </w:tc>
        <w:tc>
          <w:tcPr>
            <w:tcW w:type="dxa" w:w="2880"/>
          </w:tcPr>
          <w:p>
            <w:r>
              <w:t>±1/8" max</w:t>
            </w:r>
          </w:p>
        </w:tc>
        <w:tc>
          <w:tcPr>
            <w:tcW w:type="dxa" w:w="2880"/>
          </w:tcPr>
          <w:p>
            <w:r>
              <w:t>AISC §7.5.2</w:t>
            </w:r>
          </w:p>
        </w:tc>
      </w:tr>
      <w:tr>
        <w:tc>
          <w:tcPr>
            <w:tcW w:type="dxa" w:w="2880"/>
          </w:tcPr>
          <w:p>
            <w:r>
              <w:t>Anchor rod plumb (vertical alignment)</w:t>
            </w:r>
          </w:p>
        </w:tc>
        <w:tc>
          <w:tcPr>
            <w:tcW w:type="dxa" w:w="2880"/>
          </w:tcPr>
          <w:p>
            <w:r>
              <w:t>1:40 max deviation</w:t>
            </w:r>
          </w:p>
        </w:tc>
        <w:tc>
          <w:tcPr>
            <w:tcW w:type="dxa" w:w="2880"/>
          </w:tcPr>
          <w:p>
            <w:r>
              <w:t>AISC §7.5.2</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Column Length</w:t>
            </w:r>
          </w:p>
        </w:tc>
        <w:tc>
          <w:tcPr>
            <w:tcW w:type="dxa" w:w="2880"/>
          </w:tcPr>
          <w:p>
            <w:r>
              <w:t>Allowable Plumb Deviation (1:500)</w:t>
            </w:r>
          </w:p>
        </w:tc>
        <w:tc>
          <w:tcPr>
            <w:tcW w:type="dxa" w:w="2880"/>
          </w:tcPr>
          <w:p>
            <w:r>
              <w:t>Practical Note</w:t>
            </w:r>
          </w:p>
        </w:tc>
      </w:tr>
      <w:tr>
        <w:tc>
          <w:tcPr>
            <w:tcW w:type="dxa" w:w="2880"/>
          </w:tcPr>
          <w:p>
            <w:r>
              <w:t>10 ft</w:t>
            </w:r>
          </w:p>
        </w:tc>
        <w:tc>
          <w:tcPr>
            <w:tcW w:type="dxa" w:w="2880"/>
          </w:tcPr>
          <w:p>
            <w:r>
              <w:t>0.24" (≈ 1/4")</w:t>
            </w:r>
          </w:p>
        </w:tc>
        <w:tc>
          <w:tcPr>
            <w:tcW w:type="dxa" w:w="2880"/>
          </w:tcPr>
          <w:p>
            <w:r>
              <w:t>Hard to measure precisely with a plumb bob; total station recommended</w:t>
            </w:r>
          </w:p>
        </w:tc>
      </w:tr>
      <w:tr>
        <w:tc>
          <w:tcPr>
            <w:tcW w:type="dxa" w:w="2880"/>
          </w:tcPr>
          <w:p>
            <w:r>
              <w:t>15 ft</w:t>
            </w:r>
          </w:p>
        </w:tc>
        <w:tc>
          <w:tcPr>
            <w:tcW w:type="dxa" w:w="2880"/>
          </w:tcPr>
          <w:p>
            <w:r>
              <w:t>0.36" (≈ 3/8")</w:t>
            </w:r>
          </w:p>
        </w:tc>
        <w:tc>
          <w:tcPr>
            <w:tcW w:type="dxa" w:w="2880"/>
          </w:tcPr>
          <w:p>
            <w:r>
              <w:t>Single-story commercial typical</w:t>
            </w:r>
          </w:p>
        </w:tc>
      </w:tr>
      <w:tr>
        <w:tc>
          <w:tcPr>
            <w:tcW w:type="dxa" w:w="2880"/>
          </w:tcPr>
          <w:p>
            <w:r>
              <w:t>20 ft</w:t>
            </w:r>
          </w:p>
        </w:tc>
        <w:tc>
          <w:tcPr>
            <w:tcW w:type="dxa" w:w="2880"/>
          </w:tcPr>
          <w:p>
            <w:r>
              <w:t>0.48" (≈ 1/2")</w:t>
            </w:r>
          </w:p>
        </w:tc>
        <w:tc>
          <w:tcPr>
            <w:tcW w:type="dxa" w:w="2880"/>
          </w:tcPr>
          <w:p>
            <w:r>
              <w:t>Tall single-story / industrial</w:t>
            </w:r>
          </w:p>
        </w:tc>
      </w:tr>
      <w:tr>
        <w:tc>
          <w:tcPr>
            <w:tcW w:type="dxa" w:w="2880"/>
          </w:tcPr>
          <w:p>
            <w:r>
              <w:t>30 ft</w:t>
            </w:r>
          </w:p>
        </w:tc>
        <w:tc>
          <w:tcPr>
            <w:tcW w:type="dxa" w:w="2880"/>
          </w:tcPr>
          <w:p>
            <w:r>
              <w:t>0.72" (≈ 3/4")</w:t>
            </w:r>
          </w:p>
        </w:tc>
        <w:tc>
          <w:tcPr>
            <w:tcW w:type="dxa" w:w="2880"/>
          </w:tcPr>
          <w:p>
            <w:r>
              <w:t>Multi-story column to first splice</w:t>
            </w:r>
          </w:p>
        </w:tc>
      </w:tr>
      <w:tr>
        <w:tc>
          <w:tcPr>
            <w:tcW w:type="dxa" w:w="2880"/>
          </w:tcPr>
          <w:p>
            <w:r>
              <w:t>40 ft</w:t>
            </w:r>
          </w:p>
        </w:tc>
        <w:tc>
          <w:tcPr>
            <w:tcW w:type="dxa" w:w="2880"/>
          </w:tcPr>
          <w:p>
            <w:r>
              <w:t>0.96" (≈ 1")</w:t>
            </w:r>
          </w:p>
        </w:tc>
        <w:tc>
          <w:tcPr>
            <w:tcW w:type="dxa" w:w="2880"/>
          </w:tcPr>
          <w:p>
            <w:r>
              <w:t>Column to second splice; building footprint critical</w:t>
            </w:r>
          </w:p>
        </w:tc>
      </w:tr>
      <w:tr>
        <w:tc>
          <w:tcPr>
            <w:tcW w:type="dxa" w:w="2880"/>
          </w:tcPr>
          <w:p>
            <w:r>
              <w:t>60 ft</w:t>
            </w:r>
          </w:p>
        </w:tc>
        <w:tc>
          <w:tcPr>
            <w:tcW w:type="dxa" w:w="2880"/>
          </w:tcPr>
          <w:p>
            <w:r>
              <w:t>1.44"</w:t>
            </w:r>
          </w:p>
        </w:tc>
        <w:tc>
          <w:tcPr>
            <w:tcW w:type="dxa" w:w="2880"/>
          </w:tcPr>
          <w:p>
            <w:r>
              <w:t>Mid-rise — drift accumulation becomes the dominant concern</w:t>
            </w:r>
          </w:p>
        </w:tc>
      </w:tr>
    </w:tbl>
    <w:p>
      <w:r>
        <w:t>For exterior columns visible in the finished structure, OR exterior columns that anchor curtainwall, the Contract Documents typically tighten this. Common tightened tolerance: 1:1000 column plumb, AND no more than 1" total deviation from column line at any elevation. Verify against the project spec.</w:t>
      </w:r>
    </w:p>
    <w:p>
      <w:r>
        <w:t>Plumb deviation is reported as the offset at the top of the column from the theoretical plumb-vertical from the base plate, in inches, in two directions (North-South and East-West, OR X and Y of the grid). Sign convention: positive in the direction of grid increase.</w:t>
      </w:r>
    </w:p>
    <w:p>
      <w:pPr>
        <w:pStyle w:val="ListBullet"/>
      </w:pPr>
      <w:r>
        <w:rPr>
          <w:b/>
        </w:rPr>
        <w:t>Beam straightness (sweep + camber):</w:t>
      </w:r>
      <w:r>
        <w:t xml:space="preserve"> per ASTM A6 mill tolerance — typically 1/8" per 10 ft for hot-rolled W shapes. The erector preserves the as-delivered straightness; if a beam arrives twisted or hogged from shipping, document on the Daily Field Report and request fabricator replacement.</w:t>
      </w:r>
    </w:p>
    <w:p>
      <w:pPr>
        <w:pStyle w:val="ListBullet"/>
      </w:pPr>
      <w:r>
        <w:rPr>
          <w:b/>
        </w:rPr>
        <w:t>Specified camber preservation:</w:t>
      </w:r>
      <w:r>
        <w:t xml:space="preserve"> beams cambered per shop drawings (typically composite floor beams) must arrive with the camber and be installed so it remains. The erector should not force-set a cambered beam in a way that loses camber.</w:t>
      </w:r>
    </w:p>
    <w:p>
      <w:pPr>
        <w:pStyle w:val="ListBullet"/>
      </w:pPr>
      <w:r>
        <w:rPr>
          <w:b/>
        </w:rPr>
        <w:t>Bowed columns:</w:t>
      </w:r>
      <w:r>
        <w:t xml:space="preserve"> a column out of straightness exceeding ASTM A6 mill tolerance is a fabrication issue and should be returned to the fabricator. Field straightening requires EOR approval and is generally not advisable.</w:t>
      </w:r>
    </w:p>
    <w:p>
      <w:pPr>
        <w:pStyle w:val="ListBullet"/>
      </w:pPr>
      <w:r>
        <w:rPr>
          <w:b/>
        </w:rPr>
        <w:t>Twisted members:</w:t>
      </w:r>
      <w:r>
        <w:t xml:space="preserve"> rolled section twist (per ASTM A6) typically 1:1000 of length. Twist must be checked at receipt and accommodated by the connection configuration — if twist causes mis-alignment of bolt holes, that's a fab issue, not an erection issue.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Tolerance Item</w:t>
            </w:r>
          </w:p>
        </w:tc>
        <w:tc>
          <w:tcPr>
            <w:tcW w:type="dxa" w:w="2880"/>
          </w:tcPr>
          <w:p>
            <w:r>
              <w:t>Limit</w:t>
            </w:r>
          </w:p>
        </w:tc>
        <w:tc>
          <w:tcPr>
            <w:tcW w:type="dxa" w:w="2880"/>
          </w:tcPr>
          <w:p>
            <w:r>
              <w:t>AISC §</w:t>
            </w:r>
          </w:p>
        </w:tc>
      </w:tr>
      <w:tr>
        <w:tc>
          <w:tcPr>
            <w:tcW w:type="dxa" w:w="2880"/>
          </w:tcPr>
          <w:p>
            <w:r>
              <w:t>Beam top elevation (level along length)</w:t>
            </w:r>
          </w:p>
        </w:tc>
        <w:tc>
          <w:tcPr>
            <w:tcW w:type="dxa" w:w="2880"/>
          </w:tcPr>
          <w:p>
            <w:r>
              <w:t>±1/8" from theoretical</w:t>
            </w:r>
          </w:p>
        </w:tc>
        <w:tc>
          <w:tcPr>
            <w:tcW w:type="dxa" w:w="2880"/>
          </w:tcPr>
          <w:p>
            <w:r>
              <w:t>AISC §7.13.1.4</w:t>
            </w:r>
          </w:p>
        </w:tc>
      </w:tr>
      <w:tr>
        <w:tc>
          <w:tcPr>
            <w:tcW w:type="dxa" w:w="2880"/>
          </w:tcPr>
          <w:p>
            <w:r>
              <w:t>Beam-to-beam connection elevation match</w:t>
            </w:r>
          </w:p>
        </w:tc>
        <w:tc>
          <w:tcPr>
            <w:tcW w:type="dxa" w:w="2880"/>
          </w:tcPr>
          <w:p>
            <w:r>
              <w:t>±1/8"</w:t>
            </w:r>
          </w:p>
        </w:tc>
        <w:tc>
          <w:tcPr>
            <w:tcW w:type="dxa" w:w="2880"/>
          </w:tcPr>
          <w:p>
            <w:r>
              <w:t>AISC §7.13.1.4</w:t>
            </w:r>
          </w:p>
        </w:tc>
      </w:tr>
      <w:tr>
        <w:tc>
          <w:tcPr>
            <w:tcW w:type="dxa" w:w="2880"/>
          </w:tcPr>
          <w:p>
            <w:r>
              <w:t>Floor-to-floor height (multi-story)</w:t>
            </w:r>
          </w:p>
        </w:tc>
        <w:tc>
          <w:tcPr>
            <w:tcW w:type="dxa" w:w="2880"/>
          </w:tcPr>
          <w:p>
            <w:r>
              <w:t>±1/4"</w:t>
            </w:r>
          </w:p>
        </w:tc>
        <w:tc>
          <w:tcPr>
            <w:tcW w:type="dxa" w:w="2880"/>
          </w:tcPr>
          <w:p>
            <w:r>
              <w:t>AISC §7.13.1.4</w:t>
            </w:r>
          </w:p>
        </w:tc>
      </w:tr>
      <w:tr>
        <w:tc>
          <w:tcPr>
            <w:tcW w:type="dxa" w:w="2880"/>
          </w:tcPr>
          <w:p>
            <w:r>
              <w:t>Composite floor — top of deck elevation</w:t>
            </w:r>
          </w:p>
        </w:tc>
        <w:tc>
          <w:tcPr>
            <w:tcW w:type="dxa" w:w="2880"/>
          </w:tcPr>
          <w:p>
            <w:r>
              <w:t>±1/4" before concrete pour (deck only); ±1/8" of finished slab after pour (concrete sub responsible)</w:t>
            </w:r>
          </w:p>
        </w:tc>
        <w:tc>
          <w:tcPr>
            <w:tcW w:type="dxa" w:w="2880"/>
          </w:tcPr>
          <w:p>
            <w:r>
              <w:t>Project spec</w:t>
            </w:r>
          </w:p>
        </w:tc>
      </w:tr>
    </w:tbl>
    <w:p>
      <w:r>
        <w:t>Floor-elevation survey is critical for composite-floor projects where the concrete sub follows the erector — discrepancies in deck elevation translate to over- or under-pour of slab thickness, which is a real cost line item the concrete sub will backcharge if the erector misses the tolerance.</w:t>
      </w:r>
    </w:p>
    <w:p>
      <w:r>
        <w:t>Drift = the cumulative horizontal offset of the building's exterior columns from their theoretical column line, measured at any elevation. AISC §7.13.1.3:</w:t>
      </w:r>
    </w:p>
    <w:tbl>
      <w:tblPr>
        <w:tblStyle w:val="LightGrid-Accent1"/>
        <w:tblW w:type="auto" w:w="0"/>
        <w:tblLook w:firstColumn="1" w:firstRow="1" w:lastColumn="0" w:lastRow="0" w:noHBand="0" w:noVBand="1" w:val="04A0"/>
      </w:tblPr>
      <w:tblGrid>
        <w:gridCol w:w="4320"/>
        <w:gridCol w:w="4320"/>
      </w:tblGrid>
      <w:tr>
        <w:tc>
          <w:tcPr>
            <w:tcW w:type="dxa" w:w="4320"/>
          </w:tcPr>
          <w:p>
            <w:r>
              <w:t>Drift Item</w:t>
            </w:r>
          </w:p>
        </w:tc>
        <w:tc>
          <w:tcPr>
            <w:tcW w:type="dxa" w:w="4320"/>
          </w:tcPr>
          <w:p>
            <w:r>
              <w:t>Limit</w:t>
            </w:r>
          </w:p>
        </w:tc>
      </w:tr>
      <w:tr>
        <w:tc>
          <w:tcPr>
            <w:tcW w:type="dxa" w:w="4320"/>
          </w:tcPr>
          <w:p>
            <w:r>
              <w:t>Exterior column drift from column line — multi-story</w:t>
            </w:r>
          </w:p>
        </w:tc>
        <w:tc>
          <w:tcPr>
            <w:tcW w:type="dxa" w:w="4320"/>
          </w:tcPr>
          <w:p>
            <w:r>
              <w:t>1:500 of total column height from base</w:t>
            </w:r>
          </w:p>
        </w:tc>
      </w:tr>
      <w:tr>
        <w:tc>
          <w:tcPr>
            <w:tcW w:type="dxa" w:w="4320"/>
          </w:tcPr>
          <w:p>
            <w:r>
              <w:t>Drift at corner columns — typical limit</w:t>
            </w:r>
          </w:p>
        </w:tc>
        <w:tc>
          <w:tcPr>
            <w:tcW w:type="dxa" w:w="4320"/>
          </w:tcPr>
          <w:p>
            <w:r>
              <w:t>±1" plus 1/2" per story above 20 floors</w:t>
            </w:r>
          </w:p>
        </w:tc>
      </w:tr>
      <w:tr>
        <w:tc>
          <w:tcPr>
            <w:tcW w:type="dxa" w:w="4320"/>
          </w:tcPr>
          <w:p>
            <w:r>
              <w:t>Lateral envelope (worst-case 4-corner deviation)</w:t>
            </w:r>
          </w:p>
        </w:tc>
        <w:tc>
          <w:tcPr>
            <w:tcW w:type="dxa" w:w="4320"/>
          </w:tcPr>
          <w:p>
            <w:r>
              <w:t>Per Contract Documents — often 1.5× single-column drift</w:t>
            </w:r>
          </w:p>
        </w:tc>
      </w:tr>
    </w:tbl>
    <w:p>
      <w:r>
        <w:t>Drift is the most critical tolerance for tall buildings with curtainwall. Curtainwall anchor positions in the field are set to the as-built drift — if drift exceeds the curtainwall sub's allowance, the anchors require shimming, the panels require trimming, or the cladding design requires modification. Document drift early; coordinate with the cladding sub at the Pre-Erection Meeting.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Best Use</w:t>
            </w:r>
          </w:p>
        </w:tc>
        <w:tc>
          <w:tcPr>
            <w:tcW w:type="dxa" w:w="2160"/>
          </w:tcPr>
          <w:p>
            <w:r>
              <w:t>Accuracy</w:t>
            </w:r>
          </w:p>
        </w:tc>
        <w:tc>
          <w:tcPr>
            <w:tcW w:type="dxa" w:w="2160"/>
          </w:tcPr>
          <w:p>
            <w:r>
              <w:t>Notes</w:t>
            </w:r>
          </w:p>
        </w:tc>
      </w:tr>
      <w:tr>
        <w:tc>
          <w:tcPr>
            <w:tcW w:type="dxa" w:w="2160"/>
          </w:tcPr>
          <w:p>
            <w:r>
              <w:t>Total Station (robotic or manual)</w:t>
            </w:r>
          </w:p>
        </w:tc>
        <w:tc>
          <w:tcPr>
            <w:tcW w:type="dxa" w:w="2160"/>
          </w:tcPr>
          <w:p>
            <w:r>
              <w:t>Column plumb, drift, position verification</w:t>
            </w:r>
          </w:p>
        </w:tc>
        <w:tc>
          <w:tcPr>
            <w:tcW w:type="dxa" w:w="2160"/>
          </w:tcPr>
          <w:p>
            <w:r>
              <w:t>±1/16" at typical range</w:t>
            </w:r>
          </w:p>
        </w:tc>
        <w:tc>
          <w:tcPr>
            <w:tcW w:type="dxa" w:w="2160"/>
          </w:tcPr>
          <w:p>
            <w:r>
              <w:t>Industry standard for commercial steel surveying</w:t>
            </w:r>
          </w:p>
        </w:tc>
      </w:tr>
      <w:tr>
        <w:tc>
          <w:tcPr>
            <w:tcW w:type="dxa" w:w="2160"/>
          </w:tcPr>
          <w:p>
            <w:r>
              <w:t>GPS / RTK</w:t>
            </w:r>
          </w:p>
        </w:tc>
        <w:tc>
          <w:tcPr>
            <w:tcW w:type="dxa" w:w="2160"/>
          </w:tcPr>
          <w:p>
            <w:r>
              <w:t>Large-footprint / industrial sites</w:t>
            </w:r>
          </w:p>
        </w:tc>
        <w:tc>
          <w:tcPr>
            <w:tcW w:type="dxa" w:w="2160"/>
          </w:tcPr>
          <w:p>
            <w:r>
              <w:t>±1/2" RTK</w:t>
            </w:r>
          </w:p>
        </w:tc>
        <w:tc>
          <w:tcPr>
            <w:tcW w:type="dxa" w:w="2160"/>
          </w:tcPr>
          <w:p>
            <w:r>
              <w:t>Useful for site layout; less common for column plumb</w:t>
            </w:r>
          </w:p>
        </w:tc>
      </w:tr>
      <w:tr>
        <w:tc>
          <w:tcPr>
            <w:tcW w:type="dxa" w:w="2160"/>
          </w:tcPr>
          <w:p>
            <w:r>
              <w:t>Plumb bob</w:t>
            </w:r>
          </w:p>
        </w:tc>
        <w:tc>
          <w:tcPr>
            <w:tcW w:type="dxa" w:w="2160"/>
          </w:tcPr>
          <w:p>
            <w:r>
              <w:t>Short columns (≤ 20 ft), spot checks</w:t>
            </w:r>
          </w:p>
        </w:tc>
        <w:tc>
          <w:tcPr>
            <w:tcW w:type="dxa" w:w="2160"/>
          </w:tcPr>
          <w:p>
            <w:r>
              <w:t>±1/8" — wind-sensitive</w:t>
            </w:r>
          </w:p>
        </w:tc>
        <w:tc>
          <w:tcPr>
            <w:tcW w:type="dxa" w:w="2160"/>
          </w:tcPr>
          <w:p>
            <w:r>
              <w:t>Cheap; backup tool, not primary</w:t>
            </w:r>
          </w:p>
        </w:tc>
      </w:tr>
      <w:tr>
        <w:tc>
          <w:tcPr>
            <w:tcW w:type="dxa" w:w="2160"/>
          </w:tcPr>
          <w:p>
            <w:r>
              <w:t>Laser plummet (zenith / nadir)</w:t>
            </w:r>
          </w:p>
        </w:tc>
        <w:tc>
          <w:tcPr>
            <w:tcW w:type="dxa" w:w="2160"/>
          </w:tcPr>
          <w:p>
            <w:r>
              <w:t>High-rise vertical reference</w:t>
            </w:r>
          </w:p>
        </w:tc>
        <w:tc>
          <w:tcPr>
            <w:tcW w:type="dxa" w:w="2160"/>
          </w:tcPr>
          <w:p>
            <w:r>
              <w:t>±1/16" at 100 ft</w:t>
            </w:r>
          </w:p>
        </w:tc>
        <w:tc>
          <w:tcPr>
            <w:tcW w:type="dxa" w:w="2160"/>
          </w:tcPr>
          <w:p>
            <w:r>
              <w:t>Used for tower-crane and core-wall verification</w:t>
            </w:r>
          </w:p>
        </w:tc>
      </w:tr>
      <w:tr>
        <w:tc>
          <w:tcPr>
            <w:tcW w:type="dxa" w:w="2160"/>
          </w:tcPr>
          <w:p>
            <w:r>
              <w:t>Optical level</w:t>
            </w:r>
          </w:p>
        </w:tc>
        <w:tc>
          <w:tcPr>
            <w:tcW w:type="dxa" w:w="2160"/>
          </w:tcPr>
          <w:p>
            <w:r>
              <w:t>Floor elevations, top-of-beam checks</w:t>
            </w:r>
          </w:p>
        </w:tc>
        <w:tc>
          <w:tcPr>
            <w:tcW w:type="dxa" w:w="2160"/>
          </w:tcPr>
          <w:p>
            <w:r>
              <w:t>±1/16" at 100 ft</w:t>
            </w:r>
          </w:p>
        </w:tc>
        <w:tc>
          <w:tcPr>
            <w:tcW w:type="dxa" w:w="2160"/>
          </w:tcPr>
          <w:p>
            <w:r>
              <w:t>Combine with total station for full set</w:t>
            </w:r>
          </w:p>
        </w:tc>
      </w:tr>
      <w:tr>
        <w:tc>
          <w:tcPr>
            <w:tcW w:type="dxa" w:w="2160"/>
          </w:tcPr>
          <w:p>
            <w:r>
              <w:t>Spirit level (4-ft / 6-ft)</w:t>
            </w:r>
          </w:p>
        </w:tc>
        <w:tc>
          <w:tcPr>
            <w:tcW w:type="dxa" w:w="2160"/>
          </w:tcPr>
          <w:p>
            <w:r>
              <w:t>Beam-by-beam in-place check</w:t>
            </w:r>
          </w:p>
        </w:tc>
        <w:tc>
          <w:tcPr>
            <w:tcW w:type="dxa" w:w="2160"/>
          </w:tcPr>
          <w:p>
            <w:r>
              <w:t>±1/16"</w:t>
            </w:r>
          </w:p>
        </w:tc>
        <w:tc>
          <w:tcPr>
            <w:tcW w:type="dxa" w:w="2160"/>
          </w:tcPr>
          <w:p>
            <w:r>
              <w:t>Field check before final tighten</w:t>
            </w:r>
          </w:p>
        </w:tc>
      </w:tr>
    </w:tbl>
    <w:p>
      <w:r>
        <w:t>Total station is the standard for commercial work. Set up benchmark control points before erection starts (typically two reference monuments outside the building footprint, established by the GC's surveyor). The erector's surveyor (in-house or subbed) ties columns back to the benchmarks at each plumb-up.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Survey Event</w:t>
            </w:r>
          </w:p>
        </w:tc>
        <w:tc>
          <w:tcPr>
            <w:tcW w:type="dxa" w:w="2880"/>
          </w:tcPr>
          <w:p>
            <w:r>
              <w:t>When</w:t>
            </w:r>
          </w:p>
        </w:tc>
        <w:tc>
          <w:tcPr>
            <w:tcW w:type="dxa" w:w="2880"/>
          </w:tcPr>
          <w:p>
            <w:r>
              <w:t>What's Measured</w:t>
            </w:r>
          </w:p>
        </w:tc>
      </w:tr>
      <w:tr>
        <w:tc>
          <w:tcPr>
            <w:tcW w:type="dxa" w:w="2880"/>
          </w:tcPr>
          <w:p>
            <w:r>
              <w:t>Pre-erection benchmark</w:t>
            </w:r>
          </w:p>
        </w:tc>
        <w:tc>
          <w:tcPr>
            <w:tcW w:type="dxa" w:w="2880"/>
          </w:tcPr>
          <w:p>
            <w:r>
              <w:t>Before first column set</w:t>
            </w:r>
          </w:p>
        </w:tc>
        <w:tc>
          <w:tcPr>
            <w:tcW w:type="dxa" w:w="2880"/>
          </w:tcPr>
          <w:p>
            <w:r>
              <w:t>Reference monuments + column-line offsets verified against GC surveyor's layout</w:t>
            </w:r>
          </w:p>
        </w:tc>
      </w:tr>
      <w:tr>
        <w:tc>
          <w:tcPr>
            <w:tcW w:type="dxa" w:w="2880"/>
          </w:tcPr>
          <w:p>
            <w:r>
              <w:t>Initial column plumb</w:t>
            </w:r>
          </w:p>
        </w:tc>
        <w:tc>
          <w:tcPr>
            <w:tcW w:type="dxa" w:w="2880"/>
          </w:tcPr>
          <w:p>
            <w:r>
              <w:t>After every column set, before next column on the same grid</w:t>
            </w:r>
          </w:p>
        </w:tc>
        <w:tc>
          <w:tcPr>
            <w:tcW w:type="dxa" w:w="2880"/>
          </w:tcPr>
          <w:p>
            <w:r>
              <w:t>Plumb at top of column; adjusted via diagonal bracing</w:t>
            </w:r>
          </w:p>
        </w:tc>
      </w:tr>
      <w:tr>
        <w:tc>
          <w:tcPr>
            <w:tcW w:type="dxa" w:w="2880"/>
          </w:tcPr>
          <w:p>
            <w:r>
              <w:t>Bay plumb-up</w:t>
            </w:r>
          </w:p>
        </w:tc>
        <w:tc>
          <w:tcPr>
            <w:tcW w:type="dxa" w:w="2880"/>
          </w:tcPr>
          <w:p>
            <w:r>
              <w:t>After every 2-bay placement (typical) — before next bay framing</w:t>
            </w:r>
          </w:p>
        </w:tc>
        <w:tc>
          <w:tcPr>
            <w:tcW w:type="dxa" w:w="2880"/>
          </w:tcPr>
          <w:p>
            <w:r>
              <w:t>Plumb of all columns in placed bays; full survey, recorded</w:t>
            </w:r>
          </w:p>
        </w:tc>
      </w:tr>
      <w:tr>
        <w:tc>
          <w:tcPr>
            <w:tcW w:type="dxa" w:w="2880"/>
          </w:tcPr>
          <w:p>
            <w:r>
              <w:t>Floor / level survey</w:t>
            </w:r>
          </w:p>
        </w:tc>
        <w:tc>
          <w:tcPr>
            <w:tcW w:type="dxa" w:w="2880"/>
          </w:tcPr>
          <w:p>
            <w:r>
              <w:t>After each floor's beams + decking complete, before concrete pour</w:t>
            </w:r>
          </w:p>
        </w:tc>
        <w:tc>
          <w:tcPr>
            <w:tcW w:type="dxa" w:w="2880"/>
          </w:tcPr>
          <w:p>
            <w:r>
              <w:t>Top-of-deck elevations vs. theoretical; floor-to-floor heights</w:t>
            </w:r>
          </w:p>
        </w:tc>
      </w:tr>
      <w:tr>
        <w:tc>
          <w:tcPr>
            <w:tcW w:type="dxa" w:w="2880"/>
          </w:tcPr>
          <w:p>
            <w:r>
              <w:t>Top-out survey</w:t>
            </w:r>
          </w:p>
        </w:tc>
        <w:tc>
          <w:tcPr>
            <w:tcW w:type="dxa" w:w="2880"/>
          </w:tcPr>
          <w:p>
            <w:r>
              <w:t>After last column / beam set</w:t>
            </w:r>
          </w:p>
        </w:tc>
        <w:tc>
          <w:tcPr>
            <w:tcW w:type="dxa" w:w="2880"/>
          </w:tcPr>
          <w:p>
            <w:r>
              <w:t>Full as-built — drift, plumb, elevation envelope</w:t>
            </w:r>
          </w:p>
        </w:tc>
      </w:tr>
      <w:tr>
        <w:tc>
          <w:tcPr>
            <w:tcW w:type="dxa" w:w="2880"/>
          </w:tcPr>
          <w:p>
            <w:r>
              <w:t>Pre-cladding survey</w:t>
            </w:r>
          </w:p>
        </w:tc>
        <w:tc>
          <w:tcPr>
            <w:tcW w:type="dxa" w:w="2880"/>
          </w:tcPr>
          <w:p>
            <w:r>
              <w:t>Before curtainwall sub mobilizes</w:t>
            </w:r>
          </w:p>
        </w:tc>
        <w:tc>
          <w:tcPr>
            <w:tcW w:type="dxa" w:w="2880"/>
          </w:tcPr>
          <w:p>
            <w:r>
              <w:t>Drift envelope, exterior column position, embed verification</w:t>
            </w:r>
          </w:p>
        </w:tc>
      </w:tr>
      <w:tr>
        <w:tc>
          <w:tcPr>
            <w:tcW w:type="dxa" w:w="2880"/>
          </w:tcPr>
          <w:p>
            <w:r>
              <w:t>Substantial completion survey</w:t>
            </w:r>
          </w:p>
        </w:tc>
        <w:tc>
          <w:tcPr>
            <w:tcW w:type="dxa" w:w="2880"/>
          </w:tcPr>
          <w:p>
            <w:r>
              <w:t>At handover</w:t>
            </w:r>
          </w:p>
        </w:tc>
        <w:tc>
          <w:tcPr>
            <w:tcW w:type="dxa" w:w="2880"/>
          </w:tcPr>
          <w:p>
            <w:r>
              <w:t>As-built record for Owner's archives</w:t>
            </w:r>
          </w:p>
        </w:tc>
      </w:tr>
    </w:tbl>
    <w:p>
      <w:pPr>
        <w:pStyle w:val="ListNumber"/>
      </w:pPr>
      <w:r>
        <w:rPr>
          <w:b/>
        </w:rPr>
        <w:t>Discover.</w:t>
      </w:r>
      <w:r>
        <w:t xml:space="preserve"> Survey crew measures and identifies a deviation exceeding §7.13 (or tighter spec) tolerance. Document on Tolerance Survey Log with measured value, theoretical, deviation, location, and date.</w:t>
      </w:r>
    </w:p>
    <w:p>
      <w:pPr>
        <w:pStyle w:val="ListNumber"/>
      </w:pPr>
      <w:r>
        <w:rPr>
          <w:b/>
        </w:rPr>
        <w:t>Stop adjacent work.</w:t>
      </w:r>
      <w:r>
        <w:t xml:space="preserve"> If the deviation affects an in-progress bay (e.g., a column out of plumb that subsequent beams will frame to), pause erection of dependent members until resolved. Continuing to frame to an out-of-tolerance column compounds the deviation.</w:t>
      </w:r>
    </w:p>
    <w:p>
      <w:pPr>
        <w:pStyle w:val="ListNumber"/>
      </w:pPr>
      <w:r>
        <w:rPr>
          <w:b/>
        </w:rPr>
        <w:t>Investigate root cause.</w:t>
      </w:r>
      <w:r>
        <w:t xml:space="preserve"> Common causes: anchor-rod position error (concrete sub), shipping damage to member, base-plate shim error, temperature differential (sun on one side), inadequate diagonal bracing during cure of column splice.</w:t>
      </w:r>
    </w:p>
    <w:p>
      <w:pPr>
        <w:pStyle w:val="ListNumber"/>
      </w:pPr>
      <w:r>
        <w:rPr>
          <w:b/>
        </w:rPr>
        <w:t>Attempt field correction.</w:t>
      </w:r>
      <w:r>
        <w:t xml:space="preserve"> If the column is still adjustable (no permanent splice / cap connection complete), re-plumb via diagonal bracing. Re-survey to confirm.</w:t>
      </w:r>
    </w:p>
    <w:p>
      <w:pPr>
        <w:pStyle w:val="ListNumber"/>
      </w:pPr>
      <w:r>
        <w:rPr>
          <w:b/>
        </w:rPr>
        <w:t>RFI to EOR.</w:t>
      </w:r>
      <w:r>
        <w:t xml:space="preserve"> If field correction is not possible OR the deviation exceeds what diagonal bracing can correct, issue an RFI to the EOR describing the deviation, the cause, and proposed remedy. EOR options: accept as-is (re-engineer the connection geometry, modify cladding), require correction (cut + re-erect), require additional reinforcement.</w:t>
      </w:r>
    </w:p>
    <w:p>
      <w:pPr>
        <w:pStyle w:val="ListNumber"/>
      </w:pPr>
      <w:r>
        <w:rPr>
          <w:b/>
        </w:rPr>
        <w:t>Document resolution.</w:t>
      </w:r>
      <w:r>
        <w:t xml:space="preserve"> Update the Tolerance Survey Log with the resolution (RFI #, EOR response, corrective action taken, re-survey confirmation).</w:t>
      </w:r>
    </w:p>
    <w:p>
      <w:pPr>
        <w:pStyle w:val="ListNumber"/>
      </w:pPr>
      <w:r>
        <w:rPr>
          <w:b/>
        </w:rPr>
        <w:t>Notify downstream trades.</w:t>
      </w:r>
      <w:r>
        <w:t xml:space="preserve"> If the out-of-tolerance condition affects cladding, MEP, or finish trades, notify the GC PM so coordination meetings can address it.</w:t>
      </w:r>
    </w:p>
    <w:p>
      <w:r>
        <w:t>At substantial completion of steel erection (typically just before fireproofing / cladding starts), perform a full as-built survey:</w:t>
      </w:r>
    </w:p>
    <w:p>
      <w:pPr>
        <w:pStyle w:val="ListBullet"/>
      </w:pPr>
      <w:r>
        <w:t>Plan position of every primary column at base and at top of each splice.</w:t>
      </w:r>
    </w:p>
    <w:p>
      <w:pPr>
        <w:pStyle w:val="ListBullet"/>
      </w:pPr>
      <w:r>
        <w:t>Floor-to-floor elevation at four corners + center of each floor.</w:t>
      </w:r>
    </w:p>
    <w:p>
      <w:pPr>
        <w:pStyle w:val="ListBullet"/>
      </w:pPr>
      <w:r>
        <w:t>Exterior building envelope drift profile, plotted by elevation.</w:t>
      </w:r>
    </w:p>
    <w:p>
      <w:pPr>
        <w:pStyle w:val="ListBullet"/>
      </w:pPr>
      <w:r>
        <w:t>Anchor-bolt / connection points for cladding embeds.</w:t>
      </w:r>
    </w:p>
    <w:p>
      <w:pPr>
        <w:pStyle w:val="ListBullet"/>
      </w:pPr>
      <w:r>
        <w:t>Any documented deviations that did not require remediation (EOR-accepted as-is).</w:t>
      </w:r>
    </w:p>
    <w:p>
      <w:r>
        <w:t>Submit the as-built survey to the GC and EOR for written acceptance. EOR acceptance triggers:</w:t>
      </w:r>
    </w:p>
    <w:p>
      <w:pPr>
        <w:pStyle w:val="ListNumber"/>
      </w:pPr>
      <w:r>
        <w:t>Cladding sub mobilization (anchors set to as-built).</w:t>
      </w:r>
    </w:p>
    <w:p>
      <w:pPr>
        <w:pStyle w:val="ListNumber"/>
      </w:pPr>
      <w:r>
        <w:t>MEP rough-in continuation in completed bays.</w:t>
      </w:r>
    </w:p>
    <w:p>
      <w:pPr>
        <w:pStyle w:val="ListNumber"/>
      </w:pPr>
      <w:r>
        <w:t>Retainage release per Subcontract Section 4 (typically partial release at structural Substantial Completion).</w:t>
      </w:r>
    </w:p>
    <w:tbl>
      <w:tblPr>
        <w:tblStyle w:val="LightGrid-Accent1"/>
        <w:tblW w:type="auto" w:w="0"/>
        <w:tblLook w:firstColumn="1" w:firstRow="1" w:lastColumn="0" w:lastRow="0" w:noHBand="0" w:noVBand="1" w:val="04A0"/>
      </w:tblPr>
      <w:tblGrid>
        <w:gridCol w:w="4320"/>
        <w:gridCol w:w="4320"/>
      </w:tblGrid>
      <w:tr>
        <w:tc>
          <w:tcPr>
            <w:tcW w:type="dxa" w:w="4320"/>
          </w:tcPr>
          <w:p>
            <w:r>
              <w:t>As-built survey complete:</w:t>
            </w:r>
          </w:p>
        </w:tc>
        <w:tc>
          <w:tcPr>
            <w:tcW w:type="dxa" w:w="4320"/>
          </w:tcPr>
          <w:p>
            <w:r>
              <w:t>☐ Date:[Date]</w:t>
            </w:r>
          </w:p>
        </w:tc>
      </w:tr>
      <w:tr>
        <w:tc>
          <w:tcPr>
            <w:tcW w:type="dxa" w:w="4320"/>
          </w:tcPr>
          <w:p>
            <w:r>
              <w:t>EOR review:</w:t>
            </w:r>
          </w:p>
        </w:tc>
        <w:tc>
          <w:tcPr>
            <w:tcW w:type="dxa" w:w="4320"/>
          </w:tcPr>
          <w:p>
            <w:r>
              <w:t>☐ Date:[Date]</w:t>
            </w:r>
          </w:p>
        </w:tc>
      </w:tr>
      <w:tr>
        <w:tc>
          <w:tcPr>
            <w:tcW w:type="dxa" w:w="4320"/>
          </w:tcPr>
          <w:p>
            <w:r>
              <w:t>EOR acceptance letter on file:</w:t>
            </w:r>
          </w:p>
        </w:tc>
        <w:tc>
          <w:tcPr>
            <w:tcW w:type="dxa" w:w="4320"/>
          </w:tcPr>
          <w:p>
            <w:r>
              <w:t>☐ Yes — Letter dated[Date]</w:t>
            </w:r>
          </w:p>
        </w:tc>
      </w:tr>
      <w:tr>
        <w:tc>
          <w:tcPr>
            <w:tcW w:type="dxa" w:w="4320"/>
          </w:tcPr>
          <w:p>
            <w:r>
              <w:t>Cladding sub notified:</w:t>
            </w:r>
          </w:p>
        </w:tc>
        <w:tc>
          <w:tcPr>
            <w:tcW w:type="dxa" w:w="4320"/>
          </w:tcPr>
          <w:p>
            <w:r>
              <w:t>☐ Yes — Date[Date]</w:t>
            </w:r>
          </w:p>
        </w:tc>
      </w:tr>
      <w:tr>
        <w:tc>
          <w:tcPr>
            <w:tcW w:type="dxa" w:w="4320"/>
          </w:tcPr>
          <w:p>
            <w:r>
              <w:t>Retainage reduction requested:</w:t>
            </w:r>
          </w:p>
        </w:tc>
        <w:tc>
          <w:tcPr>
            <w:tcW w:type="dxa" w:w="4320"/>
          </w:tcPr>
          <w:p>
            <w:r>
              <w:t>☐ Yes — Pay App #[#]</w:t>
            </w:r>
          </w:p>
        </w:tc>
      </w:tr>
    </w:tbl>
    <w:p>
      <w:r>
        <w:t>Document version: 2026-05-17 (v1.0) — ContrPro Steel Erection trade pack. Procedural guidance parallels the AISC Code of Standard Practice for Steel Buildings and Bridges (current edition), AISC §7.13 and ASTM A6 without reproducing copyrighted material. Specifications are current as of January 2026; verify against latest AISC + ASTM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