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Backcharge Dispute Pack contains template correspondence and a workflow a sub uses to (a) preserve rights when a GC imposes a backcharge, (b) demand itemization and substantiation, (c) protest formally if the deduction stands, and (d) preserve lien and bond claim rights through to litigation. The letter templates parallel common commercial-construction practice and should be tailored to the specific Subcontract notice clauses, the state's mechanic's lien statutes, and the specific facts of the dispute. </w:t>
      </w:r>
      <w:r>
        <w:rPr>
          <w:b/>
        </w:rPr>
        <w:t>Do not send any of these letters unmodified.</w:t>
      </w:r>
      <w:r>
        <w:t xml:space="preserve"> The notice deadlines in your Subcontract and the lien-filing deadlines under state law are usually short (often 7 to 21 days from the triggering event). Have construction counsel licensed in the state of the Project review the letter and the facts before sending; the cost of one hour of counsel time is recovered many times over by getting the notice right.</w:t>
        <w:br/>
        <w:t xml:space="preserve">        </w:t>
      </w:r>
    </w:p>
    <w:p>
      <w:pPr>
        <w:pStyle w:val="ListNumber"/>
      </w:pPr>
      <w:r>
        <w:t>Section 1 — Backcharge Anatomy</w:t>
      </w:r>
    </w:p>
    <w:p>
      <w:pPr>
        <w:pStyle w:val="ListNumber"/>
      </w:pPr>
      <w:r>
        <w:t>Section 2 — Valid vs. Invalid Backcharges</w:t>
      </w:r>
    </w:p>
    <w:p>
      <w:pPr>
        <w:pStyle w:val="ListNumber"/>
      </w:pPr>
      <w:r>
        <w:t>Section 3 — Immediate Response Workflow</w:t>
      </w:r>
    </w:p>
    <w:p>
      <w:pPr>
        <w:pStyle w:val="ListNumber"/>
      </w:pPr>
      <w:r>
        <w:t>Section 4 — Evidence Preservation Checklist</w:t>
      </w:r>
    </w:p>
    <w:p>
      <w:pPr>
        <w:pStyle w:val="ListNumber"/>
      </w:pPr>
      <w:r>
        <w:t>Letter 1 — Notice of Objection / Reservation of Rights</w:t>
      </w:r>
    </w:p>
    <w:p>
      <w:pPr>
        <w:pStyle w:val="ListNumber"/>
      </w:pPr>
      <w:r>
        <w:t>Letter 2 — Demand for Itemization</w:t>
      </w:r>
    </w:p>
    <w:p>
      <w:pPr>
        <w:pStyle w:val="ListNumber"/>
      </w:pPr>
      <w:r>
        <w:t>Letter 3 — Demand for Substantiation</w:t>
      </w:r>
    </w:p>
    <w:p>
      <w:pPr>
        <w:pStyle w:val="ListNumber"/>
      </w:pPr>
      <w:r>
        <w:t>Letter 4 — Formal Protest &amp; Preservation of Claim</w:t>
      </w:r>
    </w:p>
    <w:p>
      <w:pPr>
        <w:pStyle w:val="ListNumber"/>
      </w:pPr>
      <w:r>
        <w:t>Letter 5 — Lien &amp; Bond Reservation Notice</w:t>
      </w:r>
    </w:p>
    <w:p>
      <w:pPr>
        <w:pStyle w:val="ListNumber"/>
      </w:pPr>
      <w:r>
        <w:t>Section 10 — State-Law Notice &amp; Lien-Filing Deadlines</w:t>
      </w:r>
    </w:p>
    <w:p>
      <w:pPr>
        <w:pStyle w:val="ListNumber"/>
      </w:pPr>
      <w:r>
        <w:t>Section 11 — Backcharge Disposition Tracker</w:t>
      </w:r>
    </w:p>
    <w:p>
      <w:r>
        <w:t>A "backcharge" in commercial construction is the contractor's mechanism for deducting cost from a sub's pay app to compensate for damage, repair, or supplemental work the contractor (or another sub) had to perform on the project that the contractor believes was the subject sub's responsibility. The mechanic of a backcharge is:</w:t>
      </w:r>
    </w:p>
    <w:p>
      <w:pPr>
        <w:pStyle w:val="ListNumber"/>
      </w:pPr>
      <w:r>
        <w:t>Triggering event — a defect, damage, cleanup issue, schedule slip, omission, OSHA citation, or similar (the "Event").</w:t>
      </w:r>
    </w:p>
    <w:p>
      <w:pPr>
        <w:pStyle w:val="ListNumber"/>
      </w:pPr>
      <w:r>
        <w:t>GC absorbs the cost in the first instance — paying its own crew, another sub, or a vendor to remediate.</w:t>
      </w:r>
    </w:p>
    <w:p>
      <w:pPr>
        <w:pStyle w:val="ListNumber"/>
      </w:pPr>
      <w:r>
        <w:t>GC issues a backcharge notice to the sub, stating the amount, the date of incurrence, and the Subcontract clause invoked.</w:t>
      </w:r>
    </w:p>
    <w:p>
      <w:pPr>
        <w:pStyle w:val="ListNumber"/>
      </w:pPr>
      <w:r>
        <w:t>GC deducts the amount from the sub's next pay app (or, if no pay app pending, invoices the sub directly).</w:t>
      </w:r>
    </w:p>
    <w:p>
      <w:pPr>
        <w:pStyle w:val="ListNumber"/>
      </w:pPr>
      <w:r>
        <w:t>If sub objects, the dispute proceeds through the Subcontract dispute-resolution clause.</w:t>
      </w:r>
    </w:p>
    <w:p>
      <w:r>
        <w:t>The risk to the sub: backcharges are easy for a GC to assert and hard for a sub to defend after the fact. Without contemporaneous evidence (photos, daily field reports, timecards, signed tickets), the dispute is one party's recollection against the other. The first job in any backcharge defense is to preserve the evidence; the second is to make a timely paper objection that prevents the GC from claiming the sub accepted the deduction.</w:t>
      </w:r>
    </w:p>
    <w:p>
      <w:r>
        <w:t>Not every backcharge is enforceable. A defensible backcharge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Required Element</w:t>
            </w:r>
          </w:p>
        </w:tc>
        <w:tc>
          <w:tcPr>
            <w:tcW w:type="dxa" w:w="2880"/>
          </w:tcPr>
          <w:p>
            <w:r>
              <w:t>What it means</w:t>
            </w:r>
          </w:p>
        </w:tc>
      </w:tr>
      <w:tr>
        <w:tc>
          <w:tcPr>
            <w:tcW w:type="dxa" w:w="2880"/>
          </w:tcPr>
          <w:p>
            <w:r>
              <w:t>1</w:t>
            </w:r>
          </w:p>
        </w:tc>
        <w:tc>
          <w:tcPr>
            <w:tcW w:type="dxa" w:w="2880"/>
          </w:tcPr>
          <w:p>
            <w:r>
              <w:t>Subcontract authorization</w:t>
            </w:r>
          </w:p>
        </w:tc>
        <w:tc>
          <w:tcPr>
            <w:tcW w:type="dxa" w:w="2880"/>
          </w:tcPr>
          <w:p>
            <w:r>
              <w:t>The Subcontract must give the GC the right to backcharge — either by express clause or by the general default/cure-and-perform clauses. Without authorization, the deduction is a unilateral set-off subject to challenge.</w:t>
            </w:r>
          </w:p>
        </w:tc>
      </w:tr>
      <w:tr>
        <w:tc>
          <w:tcPr>
            <w:tcW w:type="dxa" w:w="2880"/>
          </w:tcPr>
          <w:p>
            <w:r>
              <w:t>2</w:t>
            </w:r>
          </w:p>
        </w:tc>
        <w:tc>
          <w:tcPr>
            <w:tcW w:type="dxa" w:w="2880"/>
          </w:tcPr>
          <w:p>
            <w:r>
              <w:t>Notice + cure opportunity</w:t>
            </w:r>
          </w:p>
        </w:tc>
        <w:tc>
          <w:tcPr>
            <w:tcW w:type="dxa" w:w="2880"/>
          </w:tcPr>
          <w:p>
            <w:r>
              <w:t>Most Subcontracts require the GC to notify the sub of the alleged defect or deficiency and give a reasonable cure period before the GC self-performs and backcharges. Where the GC skipped this step, the backcharge is procedurally defective.</w:t>
            </w:r>
          </w:p>
        </w:tc>
      </w:tr>
      <w:tr>
        <w:tc>
          <w:tcPr>
            <w:tcW w:type="dxa" w:w="2880"/>
          </w:tcPr>
          <w:p>
            <w:r>
              <w:t>3</w:t>
            </w:r>
          </w:p>
        </w:tc>
        <w:tc>
          <w:tcPr>
            <w:tcW w:type="dxa" w:w="2880"/>
          </w:tcPr>
          <w:p>
            <w:r>
              <w:t>Cost itemization</w:t>
            </w:r>
          </w:p>
        </w:tc>
        <w:tc>
          <w:tcPr>
            <w:tcW w:type="dxa" w:w="2880"/>
          </w:tcPr>
          <w:p>
            <w:r>
              <w:t>The GC must itemize the cost — labor (timecards / classifications / hours / rates), materials (invoices), equipment (rates / hours), overhead, profit. A lump-sum backcharge without itemization is challengeable.</w:t>
            </w:r>
          </w:p>
        </w:tc>
      </w:tr>
      <w:tr>
        <w:tc>
          <w:tcPr>
            <w:tcW w:type="dxa" w:w="2880"/>
          </w:tcPr>
          <w:p>
            <w:r>
              <w:t>4</w:t>
            </w:r>
          </w:p>
        </w:tc>
        <w:tc>
          <w:tcPr>
            <w:tcW w:type="dxa" w:w="2880"/>
          </w:tcPr>
          <w:p>
            <w:r>
              <w:t>Causation</w:t>
            </w:r>
          </w:p>
        </w:tc>
        <w:tc>
          <w:tcPr>
            <w:tcW w:type="dxa" w:w="2880"/>
          </w:tcPr>
          <w:p>
            <w:r>
              <w:t>The cost must arise from the sub's act or omission, not from third-party factors, GC's own actions, or differing site conditions.</w:t>
            </w:r>
          </w:p>
        </w:tc>
      </w:tr>
      <w:tr>
        <w:tc>
          <w:tcPr>
            <w:tcW w:type="dxa" w:w="2880"/>
          </w:tcPr>
          <w:p>
            <w:r>
              <w:t>5</w:t>
            </w:r>
          </w:p>
        </w:tc>
        <w:tc>
          <w:tcPr>
            <w:tcW w:type="dxa" w:w="2880"/>
          </w:tcPr>
          <w:p>
            <w:r>
              <w:t>Reasonable amount</w:t>
            </w:r>
          </w:p>
        </w:tc>
        <w:tc>
          <w:tcPr>
            <w:tcW w:type="dxa" w:w="2880"/>
          </w:tcPr>
          <w:p>
            <w:r>
              <w:t>The cost must be reasonable in the marketplace. A GC's self-performed labor rate billed at $145/hour when the trade rate is $65/hour invites challenge to the rate.</w:t>
            </w:r>
          </w:p>
        </w:tc>
      </w:tr>
    </w:tbl>
    <w:p>
      <w:r>
        <w:t>The sub's defense framework, in priority order, attacks each element:</w:t>
      </w:r>
    </w:p>
    <w:p>
      <w:pPr>
        <w:pStyle w:val="ListNumber"/>
      </w:pPr>
      <w:r>
        <w:t>No Subcontract authorization to backcharge? Demand strike of the deduction in full.</w:t>
      </w:r>
    </w:p>
    <w:p>
      <w:pPr>
        <w:pStyle w:val="ListNumber"/>
      </w:pPr>
      <w:r>
        <w:t>No notice + cure? Demand strike of the deduction or, at minimum, a credit for the labor cost the sub would have performed (cure-cost benchmark).</w:t>
      </w:r>
    </w:p>
    <w:p>
      <w:pPr>
        <w:pStyle w:val="ListNumber"/>
      </w:pPr>
      <w:r>
        <w:t>No itemization? Demand itemization and refuse to accept the deduction until provided.</w:t>
      </w:r>
    </w:p>
    <w:p>
      <w:pPr>
        <w:pStyle w:val="ListNumber"/>
      </w:pPr>
      <w:r>
        <w:t>No causation? Demand proof that the sub's act or omission caused the cost; document differing site conditions, third-party causation, or GC's own actions.</w:t>
      </w:r>
    </w:p>
    <w:p>
      <w:pPr>
        <w:pStyle w:val="ListNumber"/>
      </w:pPr>
      <w:r>
        <w:t>Unreasonable amount? Demand cost substantiation; benchmark against industry rates; propose a reasonable credit.</w:t>
      </w:r>
    </w:p>
    <w:p>
      <w:r>
        <w:t>From the moment a backcharge notice (or a pay app deduction) is received, the sub has approximately seven discrete actions to complete within the first 14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Action</w:t>
            </w:r>
          </w:p>
        </w:tc>
        <w:tc>
          <w:tcPr>
            <w:tcW w:type="dxa" w:w="2880"/>
          </w:tcPr>
          <w:p>
            <w:r>
              <w:t>Form / Template</w:t>
            </w:r>
          </w:p>
        </w:tc>
      </w:tr>
      <w:tr>
        <w:tc>
          <w:tcPr>
            <w:tcW w:type="dxa" w:w="2880"/>
          </w:tcPr>
          <w:p>
            <w:r>
              <w:t>Day 0 (receipt)</w:t>
            </w:r>
          </w:p>
        </w:tc>
        <w:tc>
          <w:tcPr>
            <w:tcW w:type="dxa" w:w="2880"/>
          </w:tcPr>
          <w:p>
            <w:r>
              <w:t>Calendar the Subcontract notice deadline; pull the Subcontract claim-waiver clause and confirm the deadline.</w:t>
            </w:r>
          </w:p>
        </w:tc>
        <w:tc>
          <w:tcPr>
            <w:tcW w:type="dxa" w:w="2880"/>
          </w:tcPr>
          <w:p>
            <w:r>
              <w:t>Section 10 deadline check</w:t>
            </w:r>
          </w:p>
        </w:tc>
      </w:tr>
      <w:tr>
        <w:tc>
          <w:tcPr>
            <w:tcW w:type="dxa" w:w="2880"/>
          </w:tcPr>
          <w:p>
            <w:r>
              <w:t>Day 1</w:t>
            </w:r>
          </w:p>
        </w:tc>
        <w:tc>
          <w:tcPr>
            <w:tcW w:type="dxa" w:w="2880"/>
          </w:tcPr>
          <w:p>
            <w:r>
              <w:t>Send Notice of Objection / Reservation of Rights (Letter 1).</w:t>
            </w:r>
          </w:p>
        </w:tc>
        <w:tc>
          <w:tcPr>
            <w:tcW w:type="dxa" w:w="2880"/>
          </w:tcPr>
          <w:p>
            <w:r>
              <w:t>Letter 1</w:t>
            </w:r>
          </w:p>
        </w:tc>
      </w:tr>
      <w:tr>
        <w:tc>
          <w:tcPr>
            <w:tcW w:type="dxa" w:w="2880"/>
          </w:tcPr>
          <w:p>
            <w:r>
              <w:t>Day 2-3</w:t>
            </w:r>
          </w:p>
        </w:tc>
        <w:tc>
          <w:tcPr>
            <w:tcW w:type="dxa" w:w="2880"/>
          </w:tcPr>
          <w:p>
            <w:r>
              <w:t>Preserve evidence — photos, DFRs, timecards, signed tickets, RFIs, submittals, schedule. Lock down email and text records.</w:t>
            </w:r>
          </w:p>
        </w:tc>
        <w:tc>
          <w:tcPr>
            <w:tcW w:type="dxa" w:w="2880"/>
          </w:tcPr>
          <w:p>
            <w:r>
              <w:t>Section 4 checklist</w:t>
            </w:r>
          </w:p>
        </w:tc>
      </w:tr>
      <w:tr>
        <w:tc>
          <w:tcPr>
            <w:tcW w:type="dxa" w:w="2880"/>
          </w:tcPr>
          <w:p>
            <w:r>
              <w:t>Day 3-5</w:t>
            </w:r>
          </w:p>
        </w:tc>
        <w:tc>
          <w:tcPr>
            <w:tcW w:type="dxa" w:w="2880"/>
          </w:tcPr>
          <w:p>
            <w:r>
              <w:t>If GC notice lacks itemization, send Demand for Itemization (Letter 2).</w:t>
            </w:r>
          </w:p>
        </w:tc>
        <w:tc>
          <w:tcPr>
            <w:tcW w:type="dxa" w:w="2880"/>
          </w:tcPr>
          <w:p>
            <w:r>
              <w:t>Letter 2</w:t>
            </w:r>
          </w:p>
        </w:tc>
      </w:tr>
      <w:tr>
        <w:tc>
          <w:tcPr>
            <w:tcW w:type="dxa" w:w="2880"/>
          </w:tcPr>
          <w:p>
            <w:r>
              <w:t>Day 5-7</w:t>
            </w:r>
          </w:p>
        </w:tc>
        <w:tc>
          <w:tcPr>
            <w:tcW w:type="dxa" w:w="2880"/>
          </w:tcPr>
          <w:p>
            <w:r>
              <w:t>If itemization received, send Demand for Substantiation (Letter 3) for any line item the sub disputes.</w:t>
            </w:r>
          </w:p>
        </w:tc>
        <w:tc>
          <w:tcPr>
            <w:tcW w:type="dxa" w:w="2880"/>
          </w:tcPr>
          <w:p>
            <w:r>
              <w:t>Letter 3</w:t>
            </w:r>
          </w:p>
        </w:tc>
      </w:tr>
      <w:tr>
        <w:tc>
          <w:tcPr>
            <w:tcW w:type="dxa" w:w="2880"/>
          </w:tcPr>
          <w:p>
            <w:r>
              <w:t>Day 7-14</w:t>
            </w:r>
          </w:p>
        </w:tc>
        <w:tc>
          <w:tcPr>
            <w:tcW w:type="dxa" w:w="2880"/>
          </w:tcPr>
          <w:p>
            <w:r>
              <w:t>If GC will not adjust, send Formal Protest &amp; Preservation of Claim (Letter 4).</w:t>
            </w:r>
          </w:p>
        </w:tc>
        <w:tc>
          <w:tcPr>
            <w:tcW w:type="dxa" w:w="2880"/>
          </w:tcPr>
          <w:p>
            <w:r>
              <w:t>Letter 4</w:t>
            </w:r>
          </w:p>
        </w:tc>
      </w:tr>
      <w:tr>
        <w:tc>
          <w:tcPr>
            <w:tcW w:type="dxa" w:w="2880"/>
          </w:tcPr>
          <w:p>
            <w:r>
              <w:t>Day 14+</w:t>
            </w:r>
          </w:p>
        </w:tc>
        <w:tc>
          <w:tcPr>
            <w:tcW w:type="dxa" w:w="2880"/>
          </w:tcPr>
          <w:p>
            <w:r>
              <w:t>If deduction remains on pay app and dispute is unresolved, send Lien &amp; Bond Reservation Notice (Letter 5); proceed to dispute-resolution per Subcontract.</w:t>
            </w:r>
          </w:p>
        </w:tc>
        <w:tc>
          <w:tcPr>
            <w:tcW w:type="dxa" w:w="2880"/>
          </w:tcPr>
          <w:p>
            <w:r>
              <w:t>Letter 5</w:t>
            </w:r>
          </w:p>
        </w:tc>
      </w:tr>
    </w:tbl>
    <w:p>
      <w:r>
        <w:t>The exact deadlines are Subcontract-specific. The above is a typical commercial cadence; on Subcontracts with 7-day waiver clauses, the entire workflow may compress to the first week.</w:t>
      </w:r>
    </w:p>
    <w:p>
      <w:pPr>
        <w:pStyle w:val="ListNumber"/>
      </w:pPr>
      <w:r>
        <w:t>☐ All photos taken during the period of the alleged defect or work — original camera files preserved, time-stamped.</w:t>
      </w:r>
    </w:p>
    <w:p>
      <w:pPr>
        <w:pStyle w:val="ListNumber"/>
      </w:pPr>
      <w:r>
        <w:t>☐ Daily Field Reports (DFRs) for every day from 7 days before the Event through 7 days after.</w:t>
      </w:r>
    </w:p>
    <w:p>
      <w:pPr>
        <w:pStyle w:val="ListNumber"/>
      </w:pPr>
      <w:r>
        <w:t>☐ Timecards / payroll showing crews on site, hours worked, classifications.</w:t>
      </w:r>
    </w:p>
    <w:p>
      <w:pPr>
        <w:pStyle w:val="ListNumber"/>
      </w:pPr>
      <w:r>
        <w:t>☐ Material invoices, delivery tickets, signed receipts for materials delivered during the period.</w:t>
      </w:r>
    </w:p>
    <w:p>
      <w:pPr>
        <w:pStyle w:val="ListNumber"/>
      </w:pPr>
      <w:r>
        <w:t>☐ Subcontract, Subcontract amendments, and any change orders affecting the disputed scope.</w:t>
      </w:r>
    </w:p>
    <w:p>
      <w:pPr>
        <w:pStyle w:val="ListNumber"/>
      </w:pPr>
      <w:r>
        <w:t>☐ RFIs, submittals, and responses bearing on the disputed scope or condition.</w:t>
      </w:r>
    </w:p>
    <w:p>
      <w:pPr>
        <w:pStyle w:val="ListNumber"/>
      </w:pPr>
      <w:r>
        <w:t>☐ Drawings, specifications, and project-manual sections governing the disputed scope (including current revision dates).</w:t>
      </w:r>
    </w:p>
    <w:p>
      <w:pPr>
        <w:pStyle w:val="ListNumber"/>
      </w:pPr>
      <w:r>
        <w:t>☐ Schedule (baseline + most recent lookahead) showing the sub's anticipated sequence.</w:t>
      </w:r>
    </w:p>
    <w:p>
      <w:pPr>
        <w:pStyle w:val="ListNumber"/>
      </w:pPr>
      <w:r>
        <w:t>☐ Email and text correspondence with GC PM, GC superintendent, GC field engineer.</w:t>
      </w:r>
    </w:p>
    <w:p>
      <w:pPr>
        <w:pStyle w:val="ListNumber"/>
      </w:pPr>
      <w:r>
        <w:t>☐ GC's notice of the alleged defect or deficiency, and GC's notice of the backcharge.</w:t>
      </w:r>
    </w:p>
    <w:p>
      <w:pPr>
        <w:pStyle w:val="ListNumber"/>
      </w:pPr>
      <w:r>
        <w:t>☐ Pay app and pay-app correspondence showing the deduction.</w:t>
      </w:r>
    </w:p>
    <w:p>
      <w:pPr>
        <w:pStyle w:val="ListNumber"/>
      </w:pPr>
      <w:r>
        <w:t>☐ Any third-party communications (other subs, suppliers, inspectors, owner's rep).</w:t>
      </w:r>
    </w:p>
    <w:p>
      <w:pPr>
        <w:pStyle w:val="ListNumber"/>
      </w:pPr>
      <w:r>
        <w:t>☐ OSHA citation or third-party inspector report, if applicable.</w:t>
      </w:r>
    </w:p>
    <w:p>
      <w:pPr>
        <w:pStyle w:val="ListNumber"/>
      </w:pPr>
      <w:r>
        <w:t>☐ Insurance correspondence, if the matter could be insurance-covered (property damage, bodily injury).</w:t>
      </w:r>
    </w:p>
    <w:p>
      <w:pPr>
        <w:pStyle w:val="ListNumber"/>
      </w:pPr>
      <w:r>
        <w:t>☐ Witness list — every crew member, foreman, or third party who was present and may be deposed.</w:t>
      </w:r>
    </w:p>
    <w:p>
      <w:pPr>
        <w:pStyle w:val="ListNumber"/>
      </w:pPr>
      <w:r>
        <w:t>☐ Litigation hold notice issued to internal staff — preserve all documents until further notice.</w:t>
      </w:r>
    </w:p>
    <w:p>
      <w:r>
        <w:rPr>
          <w:i/>
        </w:rPr>
        <w:t>Send within 1-2 business days of learning of the backcharge. Send by email (for speed) with a follow-up hard copy by certified mail (for the Subcontract notice clause). This letter does not engage the merits; it only preserves the sub's right to object.</w:t>
      </w:r>
    </w:p>
    <w:p>
      <w:r>
        <w:t xml:space="preserve">Dear </w:t>
      </w:r>
      <w:r>
        <w:t>[Name]</w:t>
      </w:r>
      <w:r>
        <w:t>:</w:t>
      </w:r>
    </w:p>
    <w:p>
      <w:r>
        <w:t xml:space="preserve">This letter is sent in response to </w:t>
      </w:r>
      <w:r>
        <w:t>[Contractor's notice / pay app deduction / correspondence]</w:t>
      </w:r>
      <w:r>
        <w:t xml:space="preserve"> dated </w:t>
      </w:r>
      <w:r>
        <w:t>[Date]</w:t>
      </w:r>
      <w:r>
        <w:t xml:space="preserve">, in which Contractor asserts a backcharge against </w:t>
      </w:r>
      <w:r>
        <w:t>[Subcontractor Legal Name]</w:t>
      </w:r>
      <w:r>
        <w:t xml:space="preserve"> ("Subcontractor") in the amount of </w:t>
      </w:r>
      <w:r>
        <w:rPr>
          <w:b/>
        </w:rPr>
        <w:t>$[Amount]</w:t>
      </w:r>
      <w:r>
        <w:t xml:space="preserve"> for </w:t>
      </w:r>
      <w:r>
        <w:t>[brief description of asserted cost]</w:t>
      </w:r>
      <w:r>
        <w:t xml:space="preserve"> (the "Asserted Backcharge").</w:t>
      </w:r>
    </w:p>
    <w:p>
      <w:r>
        <w:t xml:space="preserve">Subcontractor </w:t>
      </w:r>
      <w:r>
        <w:rPr>
          <w:b/>
        </w:rPr>
        <w:t>objects to the Asserted Backcharge</w:t>
      </w:r>
      <w:r>
        <w:t xml:space="preserve"> in full and reserves all rights and remedies under the Subcontract, the Prime Contract (to the extent flowing down to the Subcontract), the laws of the State of </w:t>
      </w:r>
      <w:r>
        <w:t>[State]</w:t>
      </w:r>
      <w:r>
        <w:t>, and at common law.</w:t>
      </w:r>
    </w:p>
    <w:p>
      <w:r>
        <w:t>This objection is made on grounds including, without limitation, the following:</w:t>
      </w:r>
    </w:p>
    <w:p>
      <w:pPr>
        <w:pStyle w:val="ListNumber"/>
      </w:pPr>
      <w:r>
        <w:t>The Asserted Backcharge has not been substantiated with the itemization, evidence, and causation showing required for a valid backcharge under the Subcontract.</w:t>
      </w:r>
    </w:p>
    <w:p>
      <w:pPr>
        <w:pStyle w:val="ListNumber"/>
      </w:pPr>
      <w:r>
        <w:t>Subcontractor disputes that the cost described in the Asserted Backcharge was caused by any act or omission of Subcontractor.</w:t>
      </w:r>
    </w:p>
    <w:p>
      <w:pPr>
        <w:pStyle w:val="ListNumber"/>
      </w:pPr>
      <w:r>
        <w:t>Subcontractor disputes that Contractor provided Subcontractor with the notice and cure opportunity required by the Subcontract before incurring the costs underlying the Asserted Backcharge.</w:t>
      </w:r>
    </w:p>
    <w:p>
      <w:pPr>
        <w:pStyle w:val="ListNumber"/>
      </w:pPr>
      <w:r>
        <w:t>Subcontractor disputes that the amount of the Asserted Backcharge is reasonable in light of industry-standard rates for the Work described.</w:t>
      </w:r>
    </w:p>
    <w:p>
      <w:r>
        <w:t>By this letter, Subcontractor preserves all claims, defenses, and rights of recovery, and nothing in this letter or in any subsequent communication shall be construed as a waiver of any right or as an admission of any fact or liability. Subcontractor expressly reserves the right to:</w:t>
      </w:r>
    </w:p>
    <w:p>
      <w:pPr>
        <w:pStyle w:val="ListNumber"/>
      </w:pPr>
      <w:r>
        <w:t>Demand full itemization and substantiation of the Asserted Backcharge.</w:t>
      </w:r>
    </w:p>
    <w:p>
      <w:pPr>
        <w:pStyle w:val="ListNumber"/>
      </w:pPr>
      <w:r>
        <w:t>Submit a formal protest pursuant to the dispute-resolution provisions of the Subcontract.</w:t>
      </w:r>
    </w:p>
    <w:p>
      <w:pPr>
        <w:pStyle w:val="ListNumber"/>
      </w:pPr>
      <w:r>
        <w:t>Recover any amount improperly deducted from any future pay app, plus interest as permitted by the State's Prompt Payment Act.</w:t>
      </w:r>
    </w:p>
    <w:p>
      <w:pPr>
        <w:pStyle w:val="ListNumber"/>
      </w:pPr>
      <w:r>
        <w:t>File a mechanic's lien on the Project (and a claim against any payment bond) for amounts wrongfully withheld.</w:t>
      </w:r>
    </w:p>
    <w:p>
      <w:pPr>
        <w:pStyle w:val="ListNumber"/>
      </w:pPr>
      <w:r>
        <w:t>Pursue all other remedies at law and in equity.</w:t>
      </w:r>
    </w:p>
    <w:p>
      <w:r>
        <w:t xml:space="preserve">This letter is not exhaustive of Subcontractor's positions on the Asserted Backcharge; additional grounds will be set forth in subsequent correspondence as the dispute develops. Subcontractor will provide further correspondence within </w:t>
      </w:r>
      <w:r>
        <w:t>[7]</w:t>
      </w:r>
      <w:r>
        <w:t xml:space="preserve"> business days regarding itemization and substantiation.</w:t>
      </w:r>
    </w:p>
    <w:p>
      <w:r>
        <w:t>Subcontractor reserves the right to amend, supplement, or further explain its position at any time.</w:t>
      </w:r>
    </w:p>
    <w:p>
      <w:r>
        <w:t>Sincerely,</w:t>
      </w:r>
    </w:p>
    <w:p>
      <w:r>
        <w:br/>
      </w:r>
      <w:r>
        <w:t>[Authorized Signatory]</w:t>
      </w:r>
      <w:r>
        <w:br/>
      </w:r>
      <w:r>
        <w:br/>
      </w:r>
      <w:r>
        <w:t>[Title]</w:t>
      </w:r>
      <w:r>
        <w:br/>
      </w:r>
      <w:r>
        <w:br/>
      </w:r>
      <w:r>
        <w:t>[Subcontractor Legal Name]</w:t>
      </w:r>
      <w:r>
        <w:br/>
      </w:r>
      <w:r>
        <w:br/>
        <w:t xml:space="preserve">                cc: </w:t>
      </w:r>
      <w:r>
        <w:t>[Sub's outside counsel; project file]</w:t>
      </w:r>
      <w:r>
        <w:br/>
      </w:r>
    </w:p>
    <w:p>
      <w:r>
        <w:rPr>
          <w:i/>
        </w:rPr>
        <w:t>Send within 3-5 business days of the Notice of Objection. Triggers the GC's obligation to itemize; without itemization, the backcharge is procedurally defective.</w:t>
      </w:r>
    </w:p>
    <w:p>
      <w:r>
        <w:t xml:space="preserve">Dear </w:t>
      </w:r>
      <w:r>
        <w:t>[Name]</w:t>
      </w:r>
      <w:r>
        <w:t>:</w:t>
      </w:r>
    </w:p>
    <w:p>
      <w:r>
        <w:t xml:space="preserve">Further to </w:t>
      </w:r>
      <w:r>
        <w:t>[Subcontractor Legal Name]</w:t>
      </w:r>
      <w:r>
        <w:t xml:space="preserve">'s Notice of Objection dated </w:t>
      </w:r>
      <w:r>
        <w:t>[Date]</w:t>
      </w:r>
      <w:r>
        <w:t>, this letter formally demands itemization of the Asserted Backcharge in the amount of $</w:t>
      </w:r>
      <w:r>
        <w:t>[Amount]</w:t>
      </w:r>
      <w:r>
        <w:t>. The notice and deduction received to date does not contain the substantiation required for a valid backcharge under the Subcontract.</w:t>
      </w:r>
    </w:p>
    <w:p>
      <w:r>
        <w:t xml:space="preserve">For Subcontractor to evaluate the Asserted Backcharge on the merits, Contractor must provide the following itemization, with supporting documentation, within </w:t>
      </w:r>
      <w:r>
        <w:t>[7]</w:t>
      </w:r>
      <w:r>
        <w:t xml:space="preserve"> business days of receipt of this letter:</w:t>
      </w:r>
    </w:p>
    <w:p>
      <w:pPr>
        <w:pStyle w:val="ListNumber"/>
      </w:pPr>
      <w:r>
        <w:rPr>
          <w:b/>
        </w:rPr>
        <w:t>Labor</w:t>
      </w:r>
      <w:r>
        <w:t xml:space="preserve"> — Names and classifications of every worker who performed the underlying work; hours worked by each (straight time / overtime); the hourly rate billed; backup timecards or daily-time records signed by the worker and their foreman.</w:t>
      </w:r>
    </w:p>
    <w:p>
      <w:pPr>
        <w:pStyle w:val="ListNumber"/>
      </w:pPr>
      <w:r>
        <w:rPr>
          <w:b/>
        </w:rPr>
        <w:t>Materials</w:t>
      </w:r>
      <w:r>
        <w:t xml:space="preserve"> — Vendor invoices for every material used in the underlying work; delivery tickets confirming receipt at the Project site; description of how each material was used.</w:t>
      </w:r>
    </w:p>
    <w:p>
      <w:pPr>
        <w:pStyle w:val="ListNumber"/>
      </w:pPr>
      <w:r>
        <w:rPr>
          <w:b/>
        </w:rPr>
        <w:t>Equipment</w:t>
      </w:r>
      <w:r>
        <w:t xml:space="preserve"> — Equipment used (owned or rented); hours used; rate basis (published rental rate or internal rate); rental invoices if rented.</w:t>
      </w:r>
    </w:p>
    <w:p>
      <w:pPr>
        <w:pStyle w:val="ListNumber"/>
      </w:pPr>
      <w:r>
        <w:rPr>
          <w:b/>
        </w:rPr>
        <w:t>Subcontract</w:t>
      </w:r>
      <w:r>
        <w:t xml:space="preserve"> — If any portion of the underlying work was performed by a lower-tier subcontractor to Contractor, that subcontractor's invoice and supporting backup.</w:t>
      </w:r>
    </w:p>
    <w:p>
      <w:pPr>
        <w:pStyle w:val="ListNumber"/>
      </w:pPr>
      <w:r>
        <w:rPr>
          <w:b/>
        </w:rPr>
        <w:t>Overhead and Profit</w:t>
      </w:r>
      <w:r>
        <w:t xml:space="preserve"> — The percentage applied (if any) and the basis under the Subcontract for charging it.</w:t>
      </w:r>
    </w:p>
    <w:p>
      <w:pPr>
        <w:pStyle w:val="ListNumber"/>
      </w:pPr>
      <w:r>
        <w:rPr>
          <w:b/>
        </w:rPr>
        <w:t>Date and Location of Work</w:t>
      </w:r>
      <w:r>
        <w:t xml:space="preserve"> — The specific date(s) and location(s) on the Project site at which the underlying work was performed.</w:t>
      </w:r>
    </w:p>
    <w:p>
      <w:pPr>
        <w:pStyle w:val="ListNumber"/>
      </w:pPr>
      <w:r>
        <w:rPr>
          <w:b/>
        </w:rPr>
        <w:t>Identification of the Subcontract Provision</w:t>
      </w:r>
      <w:r>
        <w:t xml:space="preserve"> — The specific Subcontract clause(s) Contractor invokes as authority for the backcharge.</w:t>
      </w:r>
    </w:p>
    <w:p>
      <w:pPr>
        <w:pStyle w:val="ListNumber"/>
      </w:pPr>
      <w:r>
        <w:rPr>
          <w:b/>
        </w:rPr>
        <w:t>Notice Documentation</w:t>
      </w:r>
      <w:r>
        <w:t xml:space="preserve"> — Copies of any prior notice to Subcontractor of the alleged defect, deficiency, or non-performance, including the date of the notice, the means of delivery, and the cure period (if any) given.</w:t>
      </w:r>
    </w:p>
    <w:p>
      <w:pPr>
        <w:pStyle w:val="ListNumber"/>
      </w:pPr>
      <w:r>
        <w:rPr>
          <w:b/>
        </w:rPr>
        <w:t>Photographs and Field Documentation</w:t>
      </w:r>
      <w:r>
        <w:t xml:space="preserve"> — Photos of the condition before, during, and after the underlying work; daily field reports for the day(s) the work was performed.</w:t>
      </w:r>
    </w:p>
    <w:p>
      <w:r>
        <w:t>Until the foregoing itemization is provided, the Asserted Backcharge cannot be evaluated by Subcontractor and is not accepted, in whole or in part. Subcontractor reserves all rights as set forth in its Notice of Objection.</w:t>
      </w:r>
    </w:p>
    <w:p>
      <w:r>
        <w:t>If Contractor declines to provide the requested itemization, Subcontractor will treat the Asserted Backcharge as procedurally invalid and will pursue the remedies stated in the Notice of Objection.</w:t>
      </w:r>
    </w:p>
    <w:p>
      <w:r>
        <w:t>Sincerely,</w:t>
      </w:r>
    </w:p>
    <w:p>
      <w:r>
        <w:br/>
      </w:r>
      <w:r>
        <w:t>[Authorized Signatory / Title / Subcontractor]</w:t>
      </w:r>
      <w:r>
        <w:br/>
      </w:r>
      <w:r>
        <w:br/>
        <w:t xml:space="preserve">                cc: </w:t>
      </w:r>
      <w:r>
        <w:t>[Sub's outside counsel]</w:t>
      </w:r>
      <w:r>
        <w:br/>
      </w:r>
    </w:p>
    <w:p>
      <w:r>
        <w:rPr>
          <w:i/>
        </w:rPr>
        <w:t>Send after itemization is received. Use this letter to challenge specific line items in the itemization, demand supporting evidence, or propose a reasonable credit.</w:t>
      </w:r>
    </w:p>
    <w:p>
      <w:r>
        <w:t xml:space="preserve">Dear </w:t>
      </w:r>
      <w:r>
        <w:t>[Name]</w:t>
      </w:r>
      <w:r>
        <w:t>:</w:t>
      </w:r>
    </w:p>
    <w:p>
      <w:r>
        <w:t xml:space="preserve">Subcontractor received Contractor's itemization of the Asserted Backcharge dated </w:t>
      </w:r>
      <w:r>
        <w:t>[Date]</w:t>
      </w:r>
      <w:r>
        <w:t>. Subcontractor has reviewed the itemization and disputes the following line items for the reasons stated: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Line</w:t>
            </w:r>
          </w:p>
        </w:tc>
        <w:tc>
          <w:tcPr>
            <w:tcW w:type="dxa" w:w="1728"/>
          </w:tcPr>
          <w:p>
            <w:r>
              <w:t>Disputed Item</w:t>
            </w:r>
          </w:p>
        </w:tc>
        <w:tc>
          <w:tcPr>
            <w:tcW w:type="dxa" w:w="1728"/>
          </w:tcPr>
          <w:p>
            <w:r>
              <w:t>Asserted $</w:t>
            </w:r>
          </w:p>
        </w:tc>
        <w:tc>
          <w:tcPr>
            <w:tcW w:type="dxa" w:w="1728"/>
          </w:tcPr>
          <w:p>
            <w:r>
              <w:t>Subcontractor's Basis for Dispute</w:t>
            </w:r>
          </w:p>
        </w:tc>
        <w:tc>
          <w:tcPr>
            <w:tcW w:type="dxa" w:w="1728"/>
          </w:tcPr>
          <w:p>
            <w:r>
              <w:t>Proposed Credit ($)</w:t>
            </w:r>
          </w:p>
        </w:tc>
      </w:tr>
      <w:tr>
        <w:tc>
          <w:tcPr>
            <w:tcW w:type="dxa" w:w="1728"/>
          </w:tcPr>
          <w:p>
            <w:r>
              <w:t>1</w:t>
            </w:r>
          </w:p>
        </w:tc>
        <w:tc>
          <w:tcPr>
            <w:tcW w:type="dxa" w:w="1728"/>
          </w:tcPr>
          <w:p>
            <w:r>
              <w:t>[Item]</w:t>
            </w:r>
          </w:p>
        </w:tc>
        <w:tc>
          <w:tcPr>
            <w:tcW w:type="dxa" w:w="1728"/>
          </w:tcPr>
          <w:p>
            <w:r>
              <w:t>$[Amt]</w:t>
            </w:r>
          </w:p>
        </w:tc>
        <w:tc>
          <w:tcPr>
            <w:tcW w:type="dxa" w:w="1728"/>
          </w:tcPr>
          <w:p>
            <w:r>
              <w:t>[Reason — e.g., labor rate exceeds market; no causation; not within sub's scope]</w:t>
            </w:r>
          </w:p>
        </w:tc>
        <w:tc>
          <w:tcPr>
            <w:tcW w:type="dxa" w:w="1728"/>
          </w:tcPr>
          <w:p>
            <w:r>
              <w:t>$[Counter-offer]</w:t>
            </w:r>
          </w:p>
        </w:tc>
      </w:tr>
      <w:tr>
        <w:tc>
          <w:tcPr>
            <w:tcW w:type="dxa" w:w="1728"/>
          </w:tcPr>
          <w:p>
            <w:r>
              <w:t>2</w:t>
            </w:r>
          </w:p>
        </w:tc>
        <w:tc>
          <w:tcPr>
            <w:tcW w:type="dxa" w:w="1728"/>
          </w:tcPr>
          <w:p>
            <w:r>
              <w:t>[Item]</w:t>
            </w:r>
          </w:p>
        </w:tc>
        <w:tc>
          <w:tcPr>
            <w:tcW w:type="dxa" w:w="1728"/>
          </w:tcPr>
          <w:p>
            <w:r>
              <w:t>$[Amt]</w:t>
            </w:r>
          </w:p>
        </w:tc>
        <w:tc>
          <w:tcPr>
            <w:tcW w:type="dxa" w:w="1728"/>
          </w:tcPr>
          <w:p>
            <w:r>
              <w:t>[Reason]</w:t>
            </w:r>
          </w:p>
        </w:tc>
        <w:tc>
          <w:tcPr>
            <w:tcW w:type="dxa" w:w="1728"/>
          </w:tcPr>
          <w:p>
            <w:r>
              <w:t>$[Counter-offer]</w:t>
            </w:r>
          </w:p>
        </w:tc>
      </w:tr>
      <w:tr>
        <w:tc>
          <w:tcPr>
            <w:tcW w:type="dxa" w:w="1728"/>
          </w:tcPr>
          <w:p>
            <w:r>
              <w:t>3</w:t>
            </w:r>
          </w:p>
        </w:tc>
        <w:tc>
          <w:tcPr>
            <w:tcW w:type="dxa" w:w="1728"/>
          </w:tcPr>
          <w:p>
            <w:r>
              <w:t>[Item]</w:t>
            </w:r>
          </w:p>
        </w:tc>
        <w:tc>
          <w:tcPr>
            <w:tcW w:type="dxa" w:w="1728"/>
          </w:tcPr>
          <w:p>
            <w:r>
              <w:t>$[Amt]</w:t>
            </w:r>
          </w:p>
        </w:tc>
        <w:tc>
          <w:tcPr>
            <w:tcW w:type="dxa" w:w="1728"/>
          </w:tcPr>
          <w:p>
            <w:r>
              <w:t>[Reason]</w:t>
            </w:r>
          </w:p>
        </w:tc>
        <w:tc>
          <w:tcPr>
            <w:tcW w:type="dxa" w:w="1728"/>
          </w:tcPr>
          <w:p>
            <w:r>
              <w:t>$[Counter-offer]</w:t>
            </w:r>
          </w:p>
        </w:tc>
      </w:tr>
      <w:tr>
        <w:tc>
          <w:tcPr>
            <w:tcW w:type="dxa" w:w="1728"/>
          </w:tcPr>
          <w:p>
            <w:r>
              <w:t>4</w:t>
            </w:r>
          </w:p>
        </w:tc>
        <w:tc>
          <w:tcPr>
            <w:tcW w:type="dxa" w:w="1728"/>
          </w:tcPr>
          <w:p>
            <w:r>
              <w:t>[Item]</w:t>
            </w:r>
          </w:p>
        </w:tc>
        <w:tc>
          <w:tcPr>
            <w:tcW w:type="dxa" w:w="1728"/>
          </w:tcPr>
          <w:p>
            <w:r>
              <w:t>$[Amt]</w:t>
            </w:r>
          </w:p>
        </w:tc>
        <w:tc>
          <w:tcPr>
            <w:tcW w:type="dxa" w:w="1728"/>
          </w:tcPr>
          <w:p>
            <w:r>
              <w:t>[Reason]</w:t>
            </w:r>
          </w:p>
        </w:tc>
        <w:tc>
          <w:tcPr>
            <w:tcW w:type="dxa" w:w="1728"/>
          </w:tcPr>
          <w:p>
            <w:r>
              <w:t>$[Counter-offer]</w:t>
            </w:r>
          </w:p>
        </w:tc>
      </w:tr>
    </w:tbl>
    <w:p>
      <w:r>
        <w:t>For each disputed line item, Subcontractor demands the following supporting documentation:</w:t>
      </w:r>
    </w:p>
    <w:p>
      <w:pPr>
        <w:pStyle w:val="ListNumber"/>
      </w:pPr>
      <w:r>
        <w:t>For labor: signed timecards bearing the supervisor's signature; payroll records showing the classification and the hourly rate paid; OSHA log entry (if applicable).</w:t>
      </w:r>
    </w:p>
    <w:p>
      <w:pPr>
        <w:pStyle w:val="ListNumber"/>
      </w:pPr>
      <w:r>
        <w:t>For materials: original vendor invoices (not internal reformat); proof of payment; delivery ticket signed at the Project site.</w:t>
      </w:r>
    </w:p>
    <w:p>
      <w:pPr>
        <w:pStyle w:val="ListNumber"/>
      </w:pPr>
      <w:r>
        <w:t>For equipment: rental invoice (if rented) or published equipment-rate schedule reference (if owned); equipment use log; operator's daily time record.</w:t>
      </w:r>
    </w:p>
    <w:p>
      <w:pPr>
        <w:pStyle w:val="ListNumber"/>
      </w:pPr>
      <w:r>
        <w:t>For overhead and profit: identification of the Subcontract or industry-standard basis for the markup percentage.</w:t>
      </w:r>
    </w:p>
    <w:p>
      <w:r>
        <w:t xml:space="preserve">For the items not disputed above, Subcontractor reserves all rights pending receipt of the substantiation. Subcontractor's proposed total credit, subject to receipt of substantiation, is </w:t>
      </w:r>
      <w:r>
        <w:rPr>
          <w:b/>
        </w:rPr>
        <w:t>$[Proposed Total]</w:t>
      </w:r>
      <w:r>
        <w:t>, against the Asserted Backcharge of $</w:t>
      </w:r>
      <w:r>
        <w:t>[Total]</w:t>
      </w:r>
      <w:r>
        <w:t>.</w:t>
      </w:r>
    </w:p>
    <w:p>
      <w:r>
        <w:t xml:space="preserve">Subcontractor is prepared to meet with Contractor's representatives within the next </w:t>
      </w:r>
      <w:r>
        <w:t>[10]</w:t>
      </w:r>
      <w:r>
        <w:t xml:space="preserve"> business days to attempt a negotiated resolution. If a resolution is not reached, Subcontractor will proceed to formal protest under the Subcontract dispute-resolution provisions.</w:t>
      </w:r>
    </w:p>
    <w:p>
      <w:r>
        <w:t>Sincerely,</w:t>
      </w:r>
    </w:p>
    <w:p>
      <w:r>
        <w:br/>
      </w:r>
      <w:r>
        <w:t>[Authorized Signatory / Title / Subcontractor]</w:t>
      </w:r>
      <w:r>
        <w:br/>
      </w:r>
    </w:p>
    <w:p>
      <w:r>
        <w:rPr>
          <w:i/>
        </w:rPr>
        <w:t>Send when negotiation has not resolved the dispute and the Subcontract claim-waiver deadline is approaching. This letter formally invokes the dispute-resolution clause and preserves the claim for arbitration, litigation, or other forum.</w:t>
      </w:r>
    </w:p>
    <w:p>
      <w:r>
        <w:t xml:space="preserve">Dear </w:t>
      </w:r>
      <w:r>
        <w:t>[Name]</w:t>
      </w:r>
      <w:r>
        <w:t>:</w:t>
      </w:r>
    </w:p>
    <w:p>
      <w:r>
        <w:t xml:space="preserve">This letter constitutes </w:t>
      </w:r>
      <w:r>
        <w:t>[Subcontractor Legal Name]</w:t>
      </w:r>
      <w:r>
        <w:t xml:space="preserve">'s formal protest under </w:t>
      </w:r>
      <w:r>
        <w:t>[Subcontract Article ___]</w:t>
      </w:r>
      <w:r>
        <w:t xml:space="preserve"> of the Subcontract dated </w:t>
      </w:r>
      <w:r>
        <w:t>[Date]</w:t>
      </w:r>
      <w:r>
        <w:t xml:space="preserve"> between Contractor and Subcontractor, with respect to the Asserted Backcharge of $</w:t>
      </w:r>
      <w:r>
        <w:t>[Amount]</w:t>
      </w:r>
      <w:r>
        <w:t xml:space="preserve"> identified in Contractor's </w:t>
      </w:r>
      <w:r>
        <w:t>[notice / pay app deduction]</w:t>
      </w:r>
      <w:r>
        <w:t xml:space="preserve"> dated </w:t>
      </w:r>
      <w:r>
        <w:t>[Date]</w:t>
      </w:r>
      <w:r>
        <w:t>.</w:t>
      </w:r>
    </w:p>
    <w:p>
      <w:r>
        <w:t>Subcontractor preserves and asserts its claim against Contractor for:</w:t>
      </w:r>
    </w:p>
    <w:p>
      <w:pPr>
        <w:pStyle w:val="ListNumber"/>
      </w:pPr>
      <w:r>
        <w:t>The full amount of the Asserted Backcharge of $</w:t>
      </w:r>
      <w:r>
        <w:t>[Amount]</w:t>
      </w:r>
      <w:r>
        <w:t>, wrongfully withheld from amounts otherwise due to Subcontractor;</w:t>
      </w:r>
    </w:p>
    <w:p>
      <w:pPr>
        <w:pStyle w:val="ListNumber"/>
      </w:pPr>
      <w:r>
        <w:t>Interest on the wrongfully withheld amount at the rate provided by the State Prompt Payment Act or, where no such Act applies, at the contractual or judgment rate;</w:t>
      </w:r>
    </w:p>
    <w:p>
      <w:pPr>
        <w:pStyle w:val="ListNumber"/>
      </w:pPr>
      <w:r>
        <w:t>Subcontractor's reasonable attorney's fees and costs of collection to the extent provided by the Subcontract or applicable law;</w:t>
      </w:r>
    </w:p>
    <w:p>
      <w:pPr>
        <w:pStyle w:val="ListNumber"/>
      </w:pPr>
      <w:r>
        <w:t>Such other and further relief as may be appropriate in equity or at law.</w:t>
      </w:r>
    </w:p>
    <w:p>
      <w:r>
        <w:t>Subcontractor's protest is supported by the contemporaneous evidence preserved in Subcontractor's files, including photographs, daily field reports, timecards, RFI and submittal correspondence, drawings and specifications, schedule documentation, and party correspondence — all of which Subcontractor will produce in connection with the dispute-resolution process.</w:t>
      </w:r>
    </w:p>
    <w:p>
      <w:r>
        <w:t>Subcontractor demands that Contractor reverse the Asserted Backcharge and credit the full amount of $</w:t>
      </w:r>
      <w:r>
        <w:t>[Amount]</w:t>
      </w:r>
      <w:r>
        <w:t xml:space="preserve"> to Subcontractor's next pay application. If Contractor declines, Subcontractor will proceed to </w:t>
      </w:r>
      <w:r>
        <w:t>[mediation / arbitration / litigation, per Subcontract]</w:t>
      </w:r>
      <w:r>
        <w:t xml:space="preserve"> in accordance with the dispute-resolution provisions of the Subcontract.</w:t>
      </w:r>
    </w:p>
    <w:p>
      <w:r>
        <w:t xml:space="preserve">This protest is timely under Subcontract Article </w:t>
      </w:r>
      <w:r>
        <w:t>[___]</w:t>
      </w:r>
      <w:r>
        <w:t xml:space="preserve"> (claim notice). Subcontractor reserves all rights, including the right to amend or supplement this protest as discovery proceeds.</w:t>
      </w:r>
    </w:p>
    <w:p>
      <w:r>
        <w:t>Sincerely,</w:t>
      </w:r>
    </w:p>
    <w:p>
      <w:r>
        <w:br/>
      </w:r>
      <w:r>
        <w:t>[Authorized Signatory / Title / Subcontractor]</w:t>
      </w:r>
      <w:r>
        <w:br/>
      </w:r>
      <w:r>
        <w:br/>
        <w:t xml:space="preserve">                cc: </w:t>
      </w:r>
      <w:r>
        <w:t>[Sub's outside counsel; project file; surety; lender, if applicable]</w:t>
      </w:r>
      <w:r>
        <w:br/>
      </w:r>
    </w:p>
    <w:p>
      <w:r>
        <w:rPr>
          <w:i/>
        </w:rPr>
        <w:t>Send when the dispute remains unresolved and the deduction will be reflected in pay-app reductions. This letter preserves the sub's right to file a mechanic's lien and a payment-bond claim. State-specific deadlines apply — confirm against Section 10.</w:t>
      </w:r>
    </w:p>
    <w:p>
      <w:r>
        <w:t>To Contractor, Owner, and Surety:</w:t>
      </w:r>
    </w:p>
    <w:p>
      <w:r>
        <w:t xml:space="preserve">By this letter, </w:t>
      </w:r>
      <w:r>
        <w:t>[Subcontractor Legal Name]</w:t>
      </w:r>
      <w:r>
        <w:t xml:space="preserve"> ("Subcontractor") gives notice that Contractor is currently withholding $</w:t>
      </w:r>
      <w:r>
        <w:t>[Amount]</w:t>
      </w:r>
      <w:r>
        <w:t xml:space="preserve"> from amounts otherwise due to Subcontractor for Work properly performed on the above-referenced Project, by reason of the Asserted Backcharge dated </w:t>
      </w:r>
      <w:r>
        <w:t>[Date]</w:t>
      </w:r>
      <w:r>
        <w:t xml:space="preserve"> (the "Withheld Amount").</w:t>
      </w:r>
    </w:p>
    <w:p>
      <w:r>
        <w:t xml:space="preserve">Subcontractor disputes the Asserted Backcharge in full and has formally protested under the Subcontract by correspondence dated </w:t>
      </w:r>
      <w:r>
        <w:t>[Date]</w:t>
      </w:r>
      <w:r>
        <w:t>. The dispute remains unresolved.</w:t>
      </w:r>
    </w:p>
    <w:p>
      <w:r>
        <w:t>Subcontractor expressly reserves the right to:</w:t>
      </w:r>
    </w:p>
    <w:p>
      <w:pPr>
        <w:pStyle w:val="ListNumber"/>
      </w:pPr>
      <w:r>
        <w:t xml:space="preserve">File a mechanic's lien against the Project, and against the Owner's interest in the real property, for the Withheld Amount, in accordance with the lien statutes of the State of </w:t>
      </w:r>
      <w:r>
        <w:t>[State]</w:t>
      </w:r>
      <w:r>
        <w:t>;</w:t>
      </w:r>
    </w:p>
    <w:p>
      <w:pPr>
        <w:pStyle w:val="ListNumber"/>
      </w:pPr>
      <w:r>
        <w:t xml:space="preserve">Submit a claim against the payment bond issued by </w:t>
      </w:r>
      <w:r>
        <w:t>[Surety Name]</w:t>
      </w:r>
      <w:r>
        <w:t xml:space="preserve"> for the Withheld Amount, in accordance with the bond and the laws of the State of </w:t>
      </w:r>
      <w:r>
        <w:t>[State]</w:t>
      </w:r>
      <w:r>
        <w:t>;</w:t>
      </w:r>
    </w:p>
    <w:p>
      <w:pPr>
        <w:pStyle w:val="ListNumber"/>
      </w:pPr>
      <w:r>
        <w:t>If the Project is publicly funded, submit a claim under the State's "Little Miller Act" / public-works bond statute or the federal Miller Act, as applicable;</w:t>
      </w:r>
    </w:p>
    <w:p>
      <w:pPr>
        <w:pStyle w:val="ListNumber"/>
      </w:pPr>
      <w:r>
        <w:t>Pursue any other remedy available at law or in equity, including suit on the Subcontract.</w:t>
      </w:r>
    </w:p>
    <w:p>
      <w:r>
        <w:t>Subcontractor performed the Work for which payment is sought, supplied the materials, and otherwise complied with the requirements of the Subcontract and applicable lien-perfection statutes. Subcontractor's notice deadlines under the State's lien statute are being calendared and tracked; this letter does not constitute a waiver of any deadline or right.</w:t>
      </w:r>
    </w:p>
    <w:p>
      <w:r>
        <w:t>Sincerely,</w:t>
      </w:r>
    </w:p>
    <w:p>
      <w:r>
        <w:br/>
      </w:r>
      <w:r>
        <w:t>[Authorized Signatory / Title / Subcontractor]</w:t>
      </w:r>
      <w:r>
        <w:br/>
      </w:r>
      <w:r>
        <w:br/>
        <w:t xml:space="preserve">                cc: </w:t>
      </w:r>
      <w:r>
        <w:t>[Sub's outside counsel; Project file; Lender if applicable]</w:t>
      </w:r>
      <w:r>
        <w:br/>
      </w:r>
    </w:p>
    <w:p>
      <w:r>
        <w:t>Complete on receipt of the backcharge. These deadlines control the workflow.</w:t>
      </w:r>
    </w:p>
    <w:tbl>
      <w:tblPr>
        <w:tblStyle w:val="LightGrid-Accent1"/>
        <w:tblW w:type="auto" w:w="0"/>
        <w:tblLook w:firstColumn="1" w:firstRow="1" w:lastColumn="0" w:lastRow="0" w:noHBand="0" w:noVBand="1" w:val="04A0"/>
      </w:tblPr>
      <w:tblGrid>
        <w:gridCol w:w="4320"/>
        <w:gridCol w:w="4320"/>
      </w:tblGrid>
      <w:tr>
        <w:tc>
          <w:tcPr>
            <w:tcW w:type="dxa" w:w="4320"/>
          </w:tcPr>
          <w:p>
            <w:r>
              <w:t>State of Project:</w:t>
            </w:r>
          </w:p>
        </w:tc>
        <w:tc>
          <w:tcPr>
            <w:tcW w:type="dxa" w:w="4320"/>
          </w:tcPr>
          <w:p>
            <w:r>
              <w:t>[State]</w:t>
            </w:r>
          </w:p>
        </w:tc>
      </w:tr>
      <w:tr>
        <w:tc>
          <w:tcPr>
            <w:tcW w:type="dxa" w:w="4320"/>
          </w:tcPr>
          <w:p>
            <w:r>
              <w:t>Subcontract claim-waiver deadline:</w:t>
            </w:r>
          </w:p>
        </w:tc>
        <w:tc>
          <w:tcPr>
            <w:tcW w:type="dxa" w:w="4320"/>
          </w:tcPr>
          <w:p>
            <w:r>
              <w:t>[Days from event / notice]— cite Article[___]</w:t>
            </w:r>
          </w:p>
        </w:tc>
      </w:tr>
      <w:tr>
        <w:tc>
          <w:tcPr>
            <w:tcW w:type="dxa" w:w="4320"/>
          </w:tcPr>
          <w:p>
            <w:r>
              <w:t>Date of triggering event:</w:t>
            </w:r>
          </w:p>
        </w:tc>
        <w:tc>
          <w:tcPr>
            <w:tcW w:type="dxa" w:w="4320"/>
          </w:tcPr>
          <w:p>
            <w:r>
              <w:t>[Date]</w:t>
            </w:r>
          </w:p>
        </w:tc>
      </w:tr>
      <w:tr>
        <w:tc>
          <w:tcPr>
            <w:tcW w:type="dxa" w:w="4320"/>
          </w:tcPr>
          <w:p>
            <w:r>
              <w:t>Date of Sub's knowledge of backcharge:</w:t>
            </w:r>
          </w:p>
        </w:tc>
        <w:tc>
          <w:tcPr>
            <w:tcW w:type="dxa" w:w="4320"/>
          </w:tcPr>
          <w:p>
            <w:r>
              <w:t>[Date]</w:t>
            </w:r>
          </w:p>
        </w:tc>
      </w:tr>
      <w:tr>
        <w:tc>
          <w:tcPr>
            <w:tcW w:type="dxa" w:w="4320"/>
          </w:tcPr>
          <w:p>
            <w:r>
              <w:t>Subcontract claim-waiver deadline (calc):</w:t>
            </w:r>
          </w:p>
        </w:tc>
        <w:tc>
          <w:tcPr>
            <w:tcW w:type="dxa" w:w="4320"/>
          </w:tcPr>
          <w:p>
            <w:r>
              <w:t>[Date]</w:t>
            </w:r>
          </w:p>
        </w:tc>
      </w:tr>
      <w:tr>
        <w:tc>
          <w:tcPr>
            <w:tcW w:type="dxa" w:w="4320"/>
          </w:tcPr>
          <w:p>
            <w:r>
              <w:t>State Preliminary Lien Notice deadline (if applicable):</w:t>
            </w:r>
          </w:p>
        </w:tc>
        <w:tc>
          <w:tcPr>
            <w:tcW w:type="dxa" w:w="4320"/>
          </w:tcPr>
          <w:p>
            <w:r>
              <w:t>[Date]</w:t>
            </w:r>
          </w:p>
        </w:tc>
      </w:tr>
      <w:tr>
        <w:tc>
          <w:tcPr>
            <w:tcW w:type="dxa" w:w="4320"/>
          </w:tcPr>
          <w:p>
            <w:r>
              <w:t>State Mechanic's Lien filing deadline (from last day of furnishing):</w:t>
            </w:r>
          </w:p>
        </w:tc>
        <w:tc>
          <w:tcPr>
            <w:tcW w:type="dxa" w:w="4320"/>
          </w:tcPr>
          <w:p>
            <w:r>
              <w:t>[Months]— calc:[Date]</w:t>
            </w:r>
          </w:p>
        </w:tc>
      </w:tr>
      <w:tr>
        <w:tc>
          <w:tcPr>
            <w:tcW w:type="dxa" w:w="4320"/>
          </w:tcPr>
          <w:p>
            <w:r>
              <w:t>Payment bond claim notice deadline (90 days typical):</w:t>
            </w:r>
          </w:p>
        </w:tc>
        <w:tc>
          <w:tcPr>
            <w:tcW w:type="dxa" w:w="4320"/>
          </w:tcPr>
          <w:p>
            <w:r>
              <w:t>[Date]</w:t>
            </w:r>
          </w:p>
        </w:tc>
      </w:tr>
      <w:tr>
        <w:tc>
          <w:tcPr>
            <w:tcW w:type="dxa" w:w="4320"/>
          </w:tcPr>
          <w:p>
            <w:r>
              <w:t>Miller Act / Little Miller Act notice deadline (if public project):</w:t>
            </w:r>
          </w:p>
        </w:tc>
        <w:tc>
          <w:tcPr>
            <w:tcW w:type="dxa" w:w="4320"/>
          </w:tcPr>
          <w:p>
            <w:r>
              <w:t>[Date]</w:t>
            </w:r>
          </w:p>
        </w:tc>
      </w:tr>
      <w:tr>
        <w:tc>
          <w:tcPr>
            <w:tcW w:type="dxa" w:w="4320"/>
          </w:tcPr>
          <w:p>
            <w:r>
              <w:t>State Prompt Payment Act interest rate:</w:t>
            </w:r>
          </w:p>
        </w:tc>
        <w:tc>
          <w:tcPr>
            <w:tcW w:type="dxa" w:w="4320"/>
          </w:tcPr>
          <w:p>
            <w:r>
              <w:t>[Rate %]</w:t>
            </w:r>
          </w:p>
        </w:tc>
      </w:tr>
    </w:tbl>
    <w:p>
      <w:r>
        <w:t>One row per backcharge. Use during the project to keep multiple concurrent backcharges visible.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BC #</w:t>
            </w:r>
          </w:p>
        </w:tc>
        <w:tc>
          <w:tcPr>
            <w:tcW w:type="dxa" w:w="785"/>
          </w:tcPr>
          <w:p>
            <w:r>
              <w:t>Date Received</w:t>
            </w:r>
          </w:p>
        </w:tc>
        <w:tc>
          <w:tcPr>
            <w:tcW w:type="dxa" w:w="785"/>
          </w:tcPr>
          <w:p>
            <w:r>
              <w:t>Asserted $</w:t>
            </w:r>
          </w:p>
        </w:tc>
        <w:tc>
          <w:tcPr>
            <w:tcW w:type="dxa" w:w="785"/>
          </w:tcPr>
          <w:p>
            <w:r>
              <w:t>Brief Description</w:t>
            </w:r>
          </w:p>
        </w:tc>
        <w:tc>
          <w:tcPr>
            <w:tcW w:type="dxa" w:w="785"/>
          </w:tcPr>
          <w:p>
            <w:r>
              <w:t>Letter 1 Sent</w:t>
            </w:r>
          </w:p>
        </w:tc>
        <w:tc>
          <w:tcPr>
            <w:tcW w:type="dxa" w:w="785"/>
          </w:tcPr>
          <w:p>
            <w:r>
              <w:t>Letter 2 Sent</w:t>
            </w:r>
          </w:p>
        </w:tc>
        <w:tc>
          <w:tcPr>
            <w:tcW w:type="dxa" w:w="785"/>
          </w:tcPr>
          <w:p>
            <w:r>
              <w:t>Letter 3 Sent</w:t>
            </w:r>
          </w:p>
        </w:tc>
        <w:tc>
          <w:tcPr>
            <w:tcW w:type="dxa" w:w="785"/>
          </w:tcPr>
          <w:p>
            <w:r>
              <w:t>Letter 4 Sent</w:t>
            </w:r>
          </w:p>
        </w:tc>
        <w:tc>
          <w:tcPr>
            <w:tcW w:type="dxa" w:w="785"/>
          </w:tcPr>
          <w:p>
            <w:r>
              <w:t>Letter 5 Sent</w:t>
            </w:r>
          </w:p>
        </w:tc>
        <w:tc>
          <w:tcPr>
            <w:tcW w:type="dxa" w:w="785"/>
          </w:tcPr>
          <w:p>
            <w:r>
              <w:t>Status</w:t>
            </w:r>
          </w:p>
        </w:tc>
        <w:tc>
          <w:tcPr>
            <w:tcW w:type="dxa" w:w="785"/>
          </w:tcPr>
          <w:p>
            <w:r>
              <w:t>Final $ Credit</w:t>
            </w:r>
          </w:p>
        </w:tc>
      </w:tr>
      <w:tr>
        <w:tc>
          <w:tcPr>
            <w:tcW w:type="dxa" w:w="785"/>
          </w:tcPr>
          <w:p>
            <w:r>
              <w:t>1</w:t>
            </w:r>
          </w:p>
        </w:tc>
        <w:tc>
          <w:tcPr>
            <w:tcW w:type="dxa" w:w="785"/>
          </w:tcPr>
          <w:p>
            <w:r>
              <w:t>[Date]</w:t>
            </w:r>
          </w:p>
        </w:tc>
        <w:tc>
          <w:tcPr>
            <w:tcW w:type="dxa" w:w="785"/>
          </w:tcPr>
          <w:p>
            <w:r>
              <w:t>$[Amt]</w:t>
            </w:r>
          </w:p>
        </w:tc>
        <w:tc>
          <w:tcPr>
            <w:tcW w:type="dxa" w:w="785"/>
          </w:tcPr>
          <w:p>
            <w:r>
              <w:t>[Desc]</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[Open / Resolved / Withdrawn / In ADR]</w:t>
            </w:r>
          </w:p>
        </w:tc>
        <w:tc>
          <w:tcPr>
            <w:tcW w:type="dxa" w:w="785"/>
          </w:tcPr>
          <w:p>
            <w:r>
              <w:t>$[Amt]</w:t>
            </w:r>
          </w:p>
        </w:tc>
      </w:tr>
      <w:tr>
        <w:tc>
          <w:tcPr>
            <w:tcW w:type="dxa" w:w="785"/>
          </w:tcPr>
          <w:p>
            <w:r>
              <w:t>2</w:t>
            </w:r>
          </w:p>
        </w:tc>
        <w:tc>
          <w:tcPr>
            <w:tcW w:type="dxa" w:w="785"/>
          </w:tcPr>
          <w:p>
            <w:r>
              <w:t>[Date]</w:t>
            </w:r>
          </w:p>
        </w:tc>
        <w:tc>
          <w:tcPr>
            <w:tcW w:type="dxa" w:w="785"/>
          </w:tcPr>
          <w:p>
            <w:r>
              <w:t>$[Amt]</w:t>
            </w:r>
          </w:p>
        </w:tc>
        <w:tc>
          <w:tcPr>
            <w:tcW w:type="dxa" w:w="785"/>
          </w:tcPr>
          <w:p>
            <w:r>
              <w:t>[Desc]</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[Status]</w:t>
            </w:r>
          </w:p>
        </w:tc>
        <w:tc>
          <w:tcPr>
            <w:tcW w:type="dxa" w:w="785"/>
          </w:tcPr>
          <w:p>
            <w:r>
              <w:t>$[Amt]</w:t>
            </w:r>
          </w:p>
        </w:tc>
      </w:tr>
      <w:tr>
        <w:tc>
          <w:tcPr>
            <w:tcW w:type="dxa" w:w="785"/>
          </w:tcPr>
          <w:p>
            <w:r>
              <w:t>3</w:t>
            </w:r>
          </w:p>
        </w:tc>
        <w:tc>
          <w:tcPr>
            <w:tcW w:type="dxa" w:w="785"/>
          </w:tcPr>
          <w:p>
            <w:r>
              <w:t>[Date]</w:t>
            </w:r>
          </w:p>
        </w:tc>
        <w:tc>
          <w:tcPr>
            <w:tcW w:type="dxa" w:w="785"/>
          </w:tcPr>
          <w:p>
            <w:r>
              <w:t>$[Amt]</w:t>
            </w:r>
          </w:p>
        </w:tc>
        <w:tc>
          <w:tcPr>
            <w:tcW w:type="dxa" w:w="785"/>
          </w:tcPr>
          <w:p>
            <w:r>
              <w:t>[Desc]</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[Status]</w:t>
            </w:r>
          </w:p>
        </w:tc>
        <w:tc>
          <w:tcPr>
            <w:tcW w:type="dxa" w:w="785"/>
          </w:tcPr>
          <w:p>
            <w:r>
              <w:t>$[Amt]</w:t>
            </w:r>
          </w:p>
        </w:tc>
      </w:tr>
      <w:tr>
        <w:tc>
          <w:tcPr>
            <w:tcW w:type="dxa" w:w="785"/>
          </w:tcPr>
          <w:p>
            <w:r>
              <w:t>4</w:t>
            </w:r>
          </w:p>
        </w:tc>
        <w:tc>
          <w:tcPr>
            <w:tcW w:type="dxa" w:w="785"/>
          </w:tcPr>
          <w:p>
            <w:r>
              <w:t>[Date]</w:t>
            </w:r>
          </w:p>
        </w:tc>
        <w:tc>
          <w:tcPr>
            <w:tcW w:type="dxa" w:w="785"/>
          </w:tcPr>
          <w:p>
            <w:r>
              <w:t>$[Amt]</w:t>
            </w:r>
          </w:p>
        </w:tc>
        <w:tc>
          <w:tcPr>
            <w:tcW w:type="dxa" w:w="785"/>
          </w:tcPr>
          <w:p>
            <w:r>
              <w:t>[Desc]</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[Status]</w:t>
            </w:r>
          </w:p>
        </w:tc>
        <w:tc>
          <w:tcPr>
            <w:tcW w:type="dxa" w:w="785"/>
          </w:tcPr>
          <w:p>
            <w:r>
              <w:t>$[Amt]</w:t>
            </w:r>
          </w:p>
        </w:tc>
      </w:tr>
      <w:tr>
        <w:tc>
          <w:tcPr>
            <w:tcW w:type="dxa" w:w="785"/>
          </w:tcPr>
          <w:p>
            <w:r>
              <w:t>5</w:t>
            </w:r>
          </w:p>
        </w:tc>
        <w:tc>
          <w:tcPr>
            <w:tcW w:type="dxa" w:w="785"/>
          </w:tcPr>
          <w:p>
            <w:r>
              <w:t>[Date]</w:t>
            </w:r>
          </w:p>
        </w:tc>
        <w:tc>
          <w:tcPr>
            <w:tcW w:type="dxa" w:w="785"/>
          </w:tcPr>
          <w:p>
            <w:r>
              <w:t>$[Amt]</w:t>
            </w:r>
          </w:p>
        </w:tc>
        <w:tc>
          <w:tcPr>
            <w:tcW w:type="dxa" w:w="785"/>
          </w:tcPr>
          <w:p>
            <w:r>
              <w:t>[Desc]</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[Status]</w:t>
            </w:r>
          </w:p>
        </w:tc>
        <w:tc>
          <w:tcPr>
            <w:tcW w:type="dxa" w:w="785"/>
          </w:tcPr>
          <w:p>
            <w:r>
              <w:t>$[Amt]</w:t>
            </w:r>
          </w:p>
        </w:tc>
      </w:tr>
    </w:tbl>
    <w:p>
      <w:r>
        <w:t>Document version: 2026-05-17 (v1.0) — ContrPro Universal Sub Suite. Template correspondence parallels common commercial-construction practice and the framework of AIA A401 / ConsensusDocs 750 claim-notice provisions, without reproducing copyrighted forms. State-law citations current as of January 2026; verify against current state code and case law before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