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Davis-Bacon Act compliance and state prevailing-wage compliance are </w:t>
      </w:r>
      <w:r>
        <w:rPr>
          <w:i/>
        </w:rPr>
        <w:t>strict-liability</w:t>
      </w:r>
      <w:r>
        <w:t xml:space="preserve"> exposures: a small payroll error becomes a debarment risk in months. This guide outlines the rules in plain language and points to the operational practices a sub needs to put in place before crew arrives on a prevailing-wage jobsite. </w:t>
      </w:r>
      <w:r>
        <w:rPr>
          <w:b/>
        </w:rPr>
        <w:t>This is an operational guide, not legal advice.</w:t>
      </w:r>
      <w:r>
        <w:t xml:space="preserve"> Davis-Bacon enforcement (federal) and state wage-and-hour enforcement vary by jurisdiction and have changed materially over the past several years. Engage prevailing-wage counsel or a certified-payroll services firm on the first prevailing-wage project; the cost is far less than a wage-determination audit.</w:t>
        <w:br/>
        <w:t xml:space="preserve">        </w:t>
      </w:r>
    </w:p>
    <w:p>
      <w:pPr>
        <w:pStyle w:val="ListNumber"/>
      </w:pPr>
      <w:r>
        <w:t>Section 1 — When Prevailing Wage Applies</w:t>
      </w:r>
    </w:p>
    <w:p>
      <w:pPr>
        <w:pStyle w:val="ListNumber"/>
      </w:pPr>
      <w:r>
        <w:t>Section 2 — The Wage Determination</w:t>
      </w:r>
    </w:p>
    <w:p>
      <w:pPr>
        <w:pStyle w:val="ListNumber"/>
      </w:pPr>
      <w:r>
        <w:t>Section 3 — Worker Classifications</w:t>
      </w:r>
    </w:p>
    <w:p>
      <w:pPr>
        <w:pStyle w:val="ListNumber"/>
      </w:pPr>
      <w:r>
        <w:t>Section 4 — Fringe Benefits — Cash vs. Plan</w:t>
      </w:r>
    </w:p>
    <w:p>
      <w:pPr>
        <w:pStyle w:val="ListNumber"/>
      </w:pPr>
      <w:r>
        <w:t>Section 5 — Overtime &amp; Calculation Mechanics</w:t>
      </w:r>
    </w:p>
    <w:p>
      <w:pPr>
        <w:pStyle w:val="ListNumber"/>
      </w:pPr>
      <w:r>
        <w:t>Section 6 — Apprentice &amp; Trainee Ratios</w:t>
      </w:r>
    </w:p>
    <w:p>
      <w:pPr>
        <w:pStyle w:val="ListNumber"/>
      </w:pPr>
      <w:r>
        <w:t>Section 7 — Form WH-347 — Anatomy</w:t>
      </w:r>
    </w:p>
    <w:p>
      <w:pPr>
        <w:pStyle w:val="ListNumber"/>
      </w:pPr>
      <w:r>
        <w:t>Section 8 — Statement of Compliance</w:t>
      </w:r>
    </w:p>
    <w:p>
      <w:pPr>
        <w:pStyle w:val="ListNumber"/>
      </w:pPr>
      <w:r>
        <w:t>Section 9 — Recordkeeping &amp; Submission Cadence</w:t>
      </w:r>
    </w:p>
    <w:p>
      <w:pPr>
        <w:pStyle w:val="ListNumber"/>
      </w:pPr>
      <w:r>
        <w:t>Section 10 — Common Violations &amp; Penalties</w:t>
      </w:r>
    </w:p>
    <w:p>
      <w:pPr>
        <w:pStyle w:val="ListNumber"/>
      </w:pPr>
      <w:r>
        <w:t>Section 11 — State Prevailing Wage Matrix</w:t>
      </w:r>
    </w:p>
    <w:p>
      <w:pPr>
        <w:pStyle w:val="ListNumber"/>
      </w:pPr>
      <w:r>
        <w:t>Section 12 — Pre-Mobilization Checklist</w:t>
      </w:r>
    </w:p>
    <w:p>
      <w:r>
        <w:t>Prevailing wage is triggered by the funding source of the project, not the type of work or the type of contractor. The two regimes a sub will most commonly encounter: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Regime</w:t>
            </w:r>
          </w:p>
        </w:tc>
        <w:tc>
          <w:tcPr>
            <w:tcW w:type="dxa" w:w="2160"/>
          </w:tcPr>
          <w:p>
            <w:r>
              <w:t>Trigger</w:t>
            </w:r>
          </w:p>
        </w:tc>
        <w:tc>
          <w:tcPr>
            <w:tcW w:type="dxa" w:w="2160"/>
          </w:tcPr>
          <w:p>
            <w:r>
              <w:t>Enforcer</w:t>
            </w:r>
          </w:p>
        </w:tc>
        <w:tc>
          <w:tcPr>
            <w:tcW w:type="dxa" w:w="2160"/>
          </w:tcPr>
          <w:p>
            <w:r>
              <w:t>Form</w:t>
            </w:r>
          </w:p>
        </w:tc>
      </w:tr>
      <w:tr>
        <w:tc>
          <w:tcPr>
            <w:tcW w:type="dxa" w:w="2160"/>
          </w:tcPr>
          <w:p>
            <w:r>
              <w:t>Federal Davis-Bacon Act (DBA)</w:t>
            </w:r>
          </w:p>
        </w:tc>
        <w:tc>
          <w:tcPr>
            <w:tcW w:type="dxa" w:w="2160"/>
          </w:tcPr>
          <w:p>
            <w:r>
              <w:t>Federally funded construction $2,000+ (including buildings, highways, public works)</w:t>
            </w:r>
          </w:p>
        </w:tc>
        <w:tc>
          <w:tcPr>
            <w:tcW w:type="dxa" w:w="2160"/>
          </w:tcPr>
          <w:p>
            <w:r>
              <w:t>U.S. Department of Labor, Wage &amp; Hour Division</w:t>
            </w:r>
          </w:p>
        </w:tc>
        <w:tc>
          <w:tcPr>
            <w:tcW w:type="dxa" w:w="2160"/>
          </w:tcPr>
          <w:p>
            <w:r>
              <w:t>WH-347</w:t>
            </w:r>
          </w:p>
        </w:tc>
      </w:tr>
      <w:tr>
        <w:tc>
          <w:tcPr>
            <w:tcW w:type="dxa" w:w="2160"/>
          </w:tcPr>
          <w:p>
            <w:r>
              <w:t>Davis-Bacon-Related Acts (DBRA)</w:t>
            </w:r>
          </w:p>
        </w:tc>
        <w:tc>
          <w:tcPr>
            <w:tcW w:type="dxa" w:w="2160"/>
          </w:tcPr>
          <w:p>
            <w:r>
              <w:t>Federally assisted (HUD, EPA, DOT grant pass-through)</w:t>
            </w:r>
          </w:p>
        </w:tc>
        <w:tc>
          <w:tcPr>
            <w:tcW w:type="dxa" w:w="2160"/>
          </w:tcPr>
          <w:p>
            <w:r>
              <w:t>USDOL or assisting federal agency</w:t>
            </w:r>
          </w:p>
        </w:tc>
        <w:tc>
          <w:tcPr>
            <w:tcW w:type="dxa" w:w="2160"/>
          </w:tcPr>
          <w:p>
            <w:r>
              <w:t>WH-347 or state form</w:t>
            </w:r>
          </w:p>
        </w:tc>
      </w:tr>
      <w:tr>
        <w:tc>
          <w:tcPr>
            <w:tcW w:type="dxa" w:w="2160"/>
          </w:tcPr>
          <w:p>
            <w:r>
              <w:t>State "Little Davis-Bacon"</w:t>
            </w:r>
          </w:p>
        </w:tc>
        <w:tc>
          <w:tcPr>
            <w:tcW w:type="dxa" w:w="2160"/>
          </w:tcPr>
          <w:p>
            <w:r>
              <w:t>State-funded construction; threshold varies ($1,000 in CA; $5,000 in NJ; $0 in HI on certain work)</w:t>
            </w:r>
          </w:p>
        </w:tc>
        <w:tc>
          <w:tcPr>
            <w:tcW w:type="dxa" w:w="2160"/>
          </w:tcPr>
          <w:p>
            <w:r>
              <w:t>State labor department</w:t>
            </w:r>
          </w:p>
        </w:tc>
        <w:tc>
          <w:tcPr>
            <w:tcW w:type="dxa" w:w="2160"/>
          </w:tcPr>
          <w:p>
            <w:r>
              <w:t>State form (often modeled on WH-347)</w:t>
            </w:r>
          </w:p>
        </w:tc>
      </w:tr>
      <w:tr>
        <w:tc>
          <w:tcPr>
            <w:tcW w:type="dxa" w:w="2160"/>
          </w:tcPr>
          <w:p>
            <w:r>
              <w:t>Service Contract Act (SCA)</w:t>
            </w:r>
          </w:p>
        </w:tc>
        <w:tc>
          <w:tcPr>
            <w:tcW w:type="dxa" w:w="2160"/>
          </w:tcPr>
          <w:p>
            <w:r>
              <w:t>Federal service contracts $2,500+ (not construction; included here because subs occasionally have service-component scopes)</w:t>
            </w:r>
          </w:p>
        </w:tc>
        <w:tc>
          <w:tcPr>
            <w:tcW w:type="dxa" w:w="2160"/>
          </w:tcPr>
          <w:p>
            <w:r>
              <w:t>USDOL</w:t>
            </w:r>
          </w:p>
        </w:tc>
        <w:tc>
          <w:tcPr>
            <w:tcW w:type="dxa" w:w="2160"/>
          </w:tcPr>
          <w:p>
            <w:r>
              <w:t>Different rules — not addressed in this guide</w:t>
            </w:r>
          </w:p>
        </w:tc>
      </w:tr>
    </w:tbl>
    <w:p>
      <w:r>
        <w:t>Note: Prevailing wage flows down. If the prime is a federal contract, every tier of subcontractor on the project is bound, regardless of contract value at the sub tier. The wage determination is the GC's responsibility to obtain and provide to subs; the sub's compliance is the sub's own responsibility.</w:t>
      </w:r>
    </w:p>
    <w:p>
      <w:r>
        <w:t>The wage determination is a document published by USDOL (federal) or the state labor department (state) that lists, for the locality of the project, the prevailing wage rate and fringe benefit value for each classification of worker covered. The WD is incorporated by reference into the prime contract and binds every tier of contractor on the project.</w:t>
      </w:r>
    </w:p>
    <w:tbl>
      <w:tblPr>
        <w:tblStyle w:val="LightGrid-Accent1"/>
        <w:tblW w:type="auto" w:w="0"/>
        <w:tblLook w:firstColumn="1" w:firstRow="1" w:lastColumn="0" w:lastRow="0" w:noHBand="0" w:noVBand="1" w:val="04A0"/>
      </w:tblPr>
      <w:tblGrid>
        <w:gridCol w:w="4320"/>
        <w:gridCol w:w="4320"/>
      </w:tblGrid>
      <w:tr>
        <w:tc>
          <w:tcPr>
            <w:tcW w:type="dxa" w:w="4320"/>
          </w:tcPr>
          <w:p>
            <w:r>
              <w:t>WD identifying number:</w:t>
            </w:r>
          </w:p>
        </w:tc>
        <w:tc>
          <w:tcPr>
            <w:tcW w:type="dxa" w:w="4320"/>
          </w:tcPr>
          <w:p>
            <w:r>
              <w:t>[e.g., GA20240001 — federal; or state ref]</w:t>
            </w:r>
          </w:p>
        </w:tc>
      </w:tr>
      <w:tr>
        <w:tc>
          <w:tcPr>
            <w:tcW w:type="dxa" w:w="4320"/>
          </w:tcPr>
          <w:p>
            <w:r>
              <w:t>Geographic scope:</w:t>
            </w:r>
          </w:p>
        </w:tc>
        <w:tc>
          <w:tcPr>
            <w:tcW w:type="dxa" w:w="4320"/>
          </w:tcPr>
          <w:p>
            <w:r>
              <w:t>[County / region]</w:t>
            </w:r>
          </w:p>
        </w:tc>
      </w:tr>
      <w:tr>
        <w:tc>
          <w:tcPr>
            <w:tcW w:type="dxa" w:w="4320"/>
          </w:tcPr>
          <w:p>
            <w:r>
              <w:t>Construction type (Building / Highway / Heavy / Residential):</w:t>
            </w:r>
          </w:p>
        </w:tc>
        <w:tc>
          <w:tcPr>
            <w:tcW w:type="dxa" w:w="4320"/>
          </w:tcPr>
          <w:p>
            <w:r>
              <w:t>[Type]</w:t>
            </w:r>
          </w:p>
        </w:tc>
      </w:tr>
      <w:tr>
        <w:tc>
          <w:tcPr>
            <w:tcW w:type="dxa" w:w="4320"/>
          </w:tcPr>
          <w:p>
            <w:r>
              <w:t>Effective date:</w:t>
            </w:r>
          </w:p>
        </w:tc>
        <w:tc>
          <w:tcPr>
            <w:tcW w:type="dxa" w:w="4320"/>
          </w:tcPr>
          <w:p>
            <w:r>
              <w:t>[Date]</w:t>
            </w:r>
          </w:p>
        </w:tc>
      </w:tr>
      <w:tr>
        <w:tc>
          <w:tcPr>
            <w:tcW w:type="dxa" w:w="4320"/>
          </w:tcPr>
          <w:p>
            <w:r>
              <w:t>WD modification number:</w:t>
            </w:r>
          </w:p>
        </w:tc>
        <w:tc>
          <w:tcPr>
            <w:tcW w:type="dxa" w:w="4320"/>
          </w:tcPr>
          <w:p>
            <w:r>
              <w:t>[Mod #]</w:t>
            </w:r>
          </w:p>
        </w:tc>
      </w:tr>
      <w:tr>
        <w:tc>
          <w:tcPr>
            <w:tcW w:type="dxa" w:w="4320"/>
          </w:tcPr>
          <w:p>
            <w:r>
              <w:t>Sub's classifications covered:</w:t>
            </w:r>
          </w:p>
        </w:tc>
        <w:tc>
          <w:tcPr>
            <w:tcW w:type="dxa" w:w="4320"/>
          </w:tcPr>
          <w:p>
            <w:r>
              <w:t>[List]</w:t>
            </w:r>
          </w:p>
        </w:tc>
      </w:tr>
    </w:tbl>
    <w:p>
      <w:r>
        <w:t>Key practical points:</w:t>
      </w:r>
    </w:p>
    <w:p>
      <w:pPr>
        <w:pStyle w:val="ListNumber"/>
      </w:pPr>
      <w:r>
        <w:t xml:space="preserve">The WD freezes at the date the prime contract is signed. Amendments to the WD published </w:t>
      </w:r>
      <w:r>
        <w:rPr>
          <w:i/>
        </w:rPr>
        <w:t>after</w:t>
      </w:r>
      <w:r>
        <w:t xml:space="preserve"> the prime contract date do not flow down — the sub bills against the WD in effect when the prime was signed.</w:t>
      </w:r>
    </w:p>
    <w:p>
      <w:pPr>
        <w:pStyle w:val="ListNumber"/>
      </w:pPr>
      <w:r>
        <w:t xml:space="preserve">The WD shows two columns per classification: </w:t>
      </w:r>
      <w:r>
        <w:rPr>
          <w:b/>
        </w:rPr>
        <w:t>Rate</w:t>
      </w:r>
      <w:r>
        <w:t xml:space="preserve"> (cash wage) and </w:t>
      </w:r>
      <w:r>
        <w:rPr>
          <w:b/>
        </w:rPr>
        <w:t>Fringes</w:t>
      </w:r>
      <w:r>
        <w:t xml:space="preserve"> (fringe benefit value).</w:t>
      </w:r>
    </w:p>
    <w:p>
      <w:pPr>
        <w:pStyle w:val="ListNumber"/>
      </w:pPr>
      <w:r>
        <w:t>"Conformance" — if a classification of work needed on the project is not listed in the WD, the GC must request USDOL conformance (Form SF-1444) to add the classification. The sub cannot self-classify.</w:t>
      </w:r>
    </w:p>
    <w:p>
      <w:pPr>
        <w:pStyle w:val="ListNumber"/>
      </w:pPr>
      <w:r>
        <w:t>The WD applies to laborers and mechanics actually performing physical work. Project managers, supervisors, executives, professional engineers, and bona fide office staff are not covered.</w:t>
      </w:r>
    </w:p>
    <w:p>
      <w:r>
        <w:t>Every worker must be assigned to the classification that best matches the work actually performed during the workweek. If a worker performs two or more classifications during the workweek, the sub may either (a) pay the highest rate for all hours worked or (b) keep an accurate record of time spent in each classification and pay each block at its respective rate. Option (b) requires the recordkeeping rigor to support it.</w:t>
      </w:r>
    </w:p>
    <w:p>
      <w:r>
        <w:t>Common error: a "helper" classification that is not present in the WD. If the WD does not list "helper" for a trade, every worker performing the work is treated as a journeyman of that trade, even if the worker is paid less in the sub's ordinary payroll.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Classification</w:t>
            </w:r>
          </w:p>
        </w:tc>
        <w:tc>
          <w:tcPr>
            <w:tcW w:type="dxa" w:w="2880"/>
          </w:tcPr>
          <w:p>
            <w:r>
              <w:t>Typical scope</w:t>
            </w:r>
          </w:p>
        </w:tc>
        <w:tc>
          <w:tcPr>
            <w:tcW w:type="dxa" w:w="2880"/>
          </w:tcPr>
          <w:p>
            <w:r>
              <w:t>Audit risk</w:t>
            </w:r>
          </w:p>
        </w:tc>
      </w:tr>
      <w:tr>
        <w:tc>
          <w:tcPr>
            <w:tcW w:type="dxa" w:w="2880"/>
          </w:tcPr>
          <w:p>
            <w:r>
              <w:t>Foreman</w:t>
            </w:r>
          </w:p>
        </w:tc>
        <w:tc>
          <w:tcPr>
            <w:tcW w:type="dxa" w:w="2880"/>
          </w:tcPr>
          <w:p>
            <w:r>
              <w:t>Working foreman performing manual labor — covered. Pure supervisor — not covered.</w:t>
            </w:r>
          </w:p>
        </w:tc>
        <w:tc>
          <w:tcPr>
            <w:tcW w:type="dxa" w:w="2880"/>
          </w:tcPr>
          <w:p>
            <w:r>
              <w:t>Time-allocation between supervision and manual labor must be documented.</w:t>
            </w:r>
          </w:p>
        </w:tc>
      </w:tr>
      <w:tr>
        <w:tc>
          <w:tcPr>
            <w:tcW w:type="dxa" w:w="2880"/>
          </w:tcPr>
          <w:p>
            <w:r>
              <w:t>Journeyman</w:t>
            </w:r>
          </w:p>
        </w:tc>
        <w:tc>
          <w:tcPr>
            <w:tcW w:type="dxa" w:w="2880"/>
          </w:tcPr>
          <w:p>
            <w:r>
              <w:t>Full-rate skilled trade worker.</w:t>
            </w:r>
          </w:p>
        </w:tc>
        <w:tc>
          <w:tcPr>
            <w:tcW w:type="dxa" w:w="2880"/>
          </w:tcPr>
          <w:p>
            <w:r>
              <w:t>Most defensible — pay the WD rate + fringe in full.</w:t>
            </w:r>
          </w:p>
        </w:tc>
      </w:tr>
      <w:tr>
        <w:tc>
          <w:tcPr>
            <w:tcW w:type="dxa" w:w="2880"/>
          </w:tcPr>
          <w:p>
            <w:r>
              <w:t>Apprentice</w:t>
            </w:r>
          </w:p>
        </w:tc>
        <w:tc>
          <w:tcPr>
            <w:tcW w:type="dxa" w:w="2880"/>
          </w:tcPr>
          <w:p>
            <w:r>
              <w:t>Registered in a USDOL/state apprenticeship program; rate is a percentage of journeyman rate.</w:t>
            </w:r>
          </w:p>
        </w:tc>
        <w:tc>
          <w:tcPr>
            <w:tcW w:type="dxa" w:w="2880"/>
          </w:tcPr>
          <w:p>
            <w:r>
              <w:t>Apprenticeship registration must be on file; ratio must be observed.</w:t>
            </w:r>
          </w:p>
        </w:tc>
      </w:tr>
      <w:tr>
        <w:tc>
          <w:tcPr>
            <w:tcW w:type="dxa" w:w="2880"/>
          </w:tcPr>
          <w:p>
            <w:r>
              <w:t>Trainee</w:t>
            </w:r>
          </w:p>
        </w:tc>
        <w:tc>
          <w:tcPr>
            <w:tcW w:type="dxa" w:w="2880"/>
          </w:tcPr>
          <w:p>
            <w:r>
              <w:t>Registered in a USDOL-approved training program (distinct from apprenticeship).</w:t>
            </w:r>
          </w:p>
        </w:tc>
        <w:tc>
          <w:tcPr>
            <w:tcW w:type="dxa" w:w="2880"/>
          </w:tcPr>
          <w:p>
            <w:r>
              <w:t>Rare — trainee programs must be USDOL-approved.</w:t>
            </w:r>
          </w:p>
        </w:tc>
      </w:tr>
      <w:tr>
        <w:tc>
          <w:tcPr>
            <w:tcW w:type="dxa" w:w="2880"/>
          </w:tcPr>
          <w:p>
            <w:r>
              <w:t>Laborer</w:t>
            </w:r>
          </w:p>
        </w:tc>
        <w:tc>
          <w:tcPr>
            <w:tcW w:type="dxa" w:w="2880"/>
          </w:tcPr>
          <w:p>
            <w:r>
              <w:t>General-construction laborer, often graded ("Group 1" / "Group 2" by task).</w:t>
            </w:r>
          </w:p>
        </w:tc>
        <w:tc>
          <w:tcPr>
            <w:tcW w:type="dxa" w:w="2880"/>
          </w:tcPr>
          <w:p>
            <w:r>
              <w:t>Group-grade classification must match the actual tasks.</w:t>
            </w:r>
          </w:p>
        </w:tc>
      </w:tr>
    </w:tbl>
    <w:p>
      <w:r>
        <w:t>The "fringes" column of the WD is a per-hour dollar value that must be delivered to the worker either (a) as additional cash wage on top of the base rate or (b) as contributions to one or more "bona fide" benefit plans (health insurance, pension, training fund, etc.). The contractor's choice; the cost to the contractor must equal at least the WD fringe amount.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Delivery method</w:t>
            </w:r>
          </w:p>
        </w:tc>
        <w:tc>
          <w:tcPr>
            <w:tcW w:type="dxa" w:w="2880"/>
          </w:tcPr>
          <w:p>
            <w:r>
              <w:t>Effect on weekly wage</w:t>
            </w:r>
          </w:p>
        </w:tc>
        <w:tc>
          <w:tcPr>
            <w:tcW w:type="dxa" w:w="2880"/>
          </w:tcPr>
          <w:p>
            <w:r>
              <w:t>WH-347 reporting</w:t>
            </w:r>
          </w:p>
        </w:tc>
      </w:tr>
      <w:tr>
        <w:tc>
          <w:tcPr>
            <w:tcW w:type="dxa" w:w="2880"/>
          </w:tcPr>
          <w:p>
            <w:r>
              <w:t>All cash</w:t>
            </w:r>
          </w:p>
        </w:tc>
        <w:tc>
          <w:tcPr>
            <w:tcW w:type="dxa" w:w="2880"/>
          </w:tcPr>
          <w:p>
            <w:r>
              <w:t>Worker's hourly wage on payroll = WD Rate + WD Fringe</w:t>
            </w:r>
          </w:p>
        </w:tc>
        <w:tc>
          <w:tcPr>
            <w:tcW w:type="dxa" w:w="2880"/>
          </w:tcPr>
          <w:p>
            <w:r>
              <w:t>Report all in column 6 (Rate) or split between Rate and Fringes columns</w:t>
            </w:r>
          </w:p>
        </w:tc>
      </w:tr>
      <w:tr>
        <w:tc>
          <w:tcPr>
            <w:tcW w:type="dxa" w:w="2880"/>
          </w:tcPr>
          <w:p>
            <w:r>
              <w:t>All in bona fide plan</w:t>
            </w:r>
          </w:p>
        </w:tc>
        <w:tc>
          <w:tcPr>
            <w:tcW w:type="dxa" w:w="2880"/>
          </w:tcPr>
          <w:p>
            <w:r>
              <w:t>Worker's hourly wage = WD Rate only; fringe contributions made to plans</w:t>
            </w:r>
          </w:p>
        </w:tc>
        <w:tc>
          <w:tcPr>
            <w:tcW w:type="dxa" w:w="2880"/>
          </w:tcPr>
          <w:p>
            <w:r>
              <w:t>Report Rate in col 6; Fringes in col 7; identify plans on the Statement of Compliance</w:t>
            </w:r>
          </w:p>
        </w:tc>
      </w:tr>
      <w:tr>
        <w:tc>
          <w:tcPr>
            <w:tcW w:type="dxa" w:w="2880"/>
          </w:tcPr>
          <w:p>
            <w:r>
              <w:t>Mixed (typical)</w:t>
            </w:r>
          </w:p>
        </w:tc>
        <w:tc>
          <w:tcPr>
            <w:tcW w:type="dxa" w:w="2880"/>
          </w:tcPr>
          <w:p>
            <w:r>
              <w:t>Part cash, part plan</w:t>
            </w:r>
          </w:p>
        </w:tc>
        <w:tc>
          <w:tcPr>
            <w:tcW w:type="dxa" w:w="2880"/>
          </w:tcPr>
          <w:p>
            <w:r>
              <w:t>Report Rate in col 6; cash portion + plan portion totaling at least WD Fringe in col 7</w:t>
            </w:r>
          </w:p>
        </w:tc>
      </w:tr>
    </w:tbl>
    <w:p>
      <w:r>
        <w:t>To qualify as a "bona fide" plan:</w:t>
      </w:r>
    </w:p>
    <w:p>
      <w:pPr>
        <w:pStyle w:val="ListNumber"/>
      </w:pPr>
      <w:r>
        <w:t>Contributions must be irrevocably made to a trust or third-party administrator that is independent of the contractor.</w:t>
      </w:r>
    </w:p>
    <w:p>
      <w:pPr>
        <w:pStyle w:val="ListNumber"/>
      </w:pPr>
      <w:r>
        <w:t>The fund cannot revert to the contractor under any circumstance.</w:t>
      </w:r>
    </w:p>
    <w:p>
      <w:pPr>
        <w:pStyle w:val="ListNumber"/>
      </w:pPr>
      <w:r>
        <w:t>The fund must be reasonably available to the worker as a benefit (e.g., health insurance with reasonable coverage; pension with reasonable vesting).</w:t>
      </w:r>
    </w:p>
    <w:p>
      <w:pPr>
        <w:pStyle w:val="ListNumber"/>
      </w:pPr>
      <w:r>
        <w:t>Contributions must be made for time actually worked — annualizing across hours not worked at fringe rates can shift the fringe burden among workers and is permitted within limits, but the math is technical and must be documented.</w:t>
      </w:r>
    </w:p>
    <w:p>
      <w:r>
        <w:t>Overtime on Davis-Bacon work is governed by the Contract Work Hours and Safety Standards Act (CWHSSA), which requires time-and-a-half (1.5×) for hours over 40 in a workweek. State prevailing-wage laws sometimes require time-and-a-half for hours over 8 in a workday (CA), or double-time on Sundays/holidays. The stricter of the two applies.</w:t>
      </w:r>
    </w:p>
    <w:p>
      <w:r>
        <w:t xml:space="preserve">The premium (the 0.5× portion of time-and-a-half, or the 1.0× portion of double-time) is calculated on the </w:t>
      </w:r>
      <w:r>
        <w:rPr>
          <w:b/>
        </w:rPr>
        <w:t>base rate only</w:t>
      </w:r>
      <w:r>
        <w:t xml:space="preserve"> — not on the fringe. The fringe is paid at straight-time for all hours, including OT hours.</w:t>
      </w:r>
    </w:p>
    <w:p>
      <w:r>
        <w:t>Worked example — WD rate $30/hr; fringe $10/hr; 45 hours in the workweek: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Hours</w:t>
            </w:r>
          </w:p>
        </w:tc>
        <w:tc>
          <w:tcPr>
            <w:tcW w:type="dxa" w:w="2880"/>
          </w:tcPr>
          <w:p>
            <w:r>
              <w:t>Calculation</w:t>
            </w:r>
          </w:p>
        </w:tc>
        <w:tc>
          <w:tcPr>
            <w:tcW w:type="dxa" w:w="2880"/>
          </w:tcPr>
          <w:p>
            <w:r>
              <w:t>Amount</w:t>
            </w:r>
          </w:p>
        </w:tc>
      </w:tr>
      <w:tr>
        <w:tc>
          <w:tcPr>
            <w:tcW w:type="dxa" w:w="2880"/>
          </w:tcPr>
          <w:p>
            <w:r>
              <w:t>40 ST × $30 base</w:t>
            </w:r>
          </w:p>
        </w:tc>
        <w:tc>
          <w:tcPr>
            <w:tcW w:type="dxa" w:w="2880"/>
          </w:tcPr>
          <w:p>
            <w:r>
              <w:t>40 × 30</w:t>
            </w:r>
          </w:p>
        </w:tc>
        <w:tc>
          <w:tcPr>
            <w:tcW w:type="dxa" w:w="2880"/>
          </w:tcPr>
          <w:p>
            <w:r>
              <w:t>$1,200.00</w:t>
            </w:r>
          </w:p>
        </w:tc>
      </w:tr>
      <w:tr>
        <w:tc>
          <w:tcPr>
            <w:tcW w:type="dxa" w:w="2880"/>
          </w:tcPr>
          <w:p>
            <w:r>
              <w:t>40 ST × $10 fringe</w:t>
            </w:r>
          </w:p>
        </w:tc>
        <w:tc>
          <w:tcPr>
            <w:tcW w:type="dxa" w:w="2880"/>
          </w:tcPr>
          <w:p>
            <w:r>
              <w:t>40 × 10</w:t>
            </w:r>
          </w:p>
        </w:tc>
        <w:tc>
          <w:tcPr>
            <w:tcW w:type="dxa" w:w="2880"/>
          </w:tcPr>
          <w:p>
            <w:r>
              <w:t>$400.00 (cash or plan)</w:t>
            </w:r>
          </w:p>
        </w:tc>
      </w:tr>
      <w:tr>
        <w:tc>
          <w:tcPr>
            <w:tcW w:type="dxa" w:w="2880"/>
          </w:tcPr>
          <w:p>
            <w:r>
              <w:t>5 OT base ($30)</w:t>
            </w:r>
          </w:p>
        </w:tc>
        <w:tc>
          <w:tcPr>
            <w:tcW w:type="dxa" w:w="2880"/>
          </w:tcPr>
          <w:p>
            <w:r>
              <w:t>5 × 30</w:t>
            </w:r>
          </w:p>
        </w:tc>
        <w:tc>
          <w:tcPr>
            <w:tcW w:type="dxa" w:w="2880"/>
          </w:tcPr>
          <w:p>
            <w:r>
              <w:t>$150.00</w:t>
            </w:r>
          </w:p>
        </w:tc>
      </w:tr>
      <w:tr>
        <w:tc>
          <w:tcPr>
            <w:tcW w:type="dxa" w:w="2880"/>
          </w:tcPr>
          <w:p>
            <w:r>
              <w:t>5 OT premium ($30 × 0.5)</w:t>
            </w:r>
          </w:p>
        </w:tc>
        <w:tc>
          <w:tcPr>
            <w:tcW w:type="dxa" w:w="2880"/>
          </w:tcPr>
          <w:p>
            <w:r>
              <w:t>5 × 15</w:t>
            </w:r>
          </w:p>
        </w:tc>
        <w:tc>
          <w:tcPr>
            <w:tcW w:type="dxa" w:w="2880"/>
          </w:tcPr>
          <w:p>
            <w:r>
              <w:t>$75.00</w:t>
            </w:r>
          </w:p>
        </w:tc>
      </w:tr>
      <w:tr>
        <w:tc>
          <w:tcPr>
            <w:tcW w:type="dxa" w:w="2880"/>
          </w:tcPr>
          <w:p>
            <w:r>
              <w:t>5 OT fringe ($10)</w:t>
            </w:r>
          </w:p>
        </w:tc>
        <w:tc>
          <w:tcPr>
            <w:tcW w:type="dxa" w:w="2880"/>
          </w:tcPr>
          <w:p>
            <w:r>
              <w:t>5 × 10</w:t>
            </w:r>
          </w:p>
        </w:tc>
        <w:tc>
          <w:tcPr>
            <w:tcW w:type="dxa" w:w="2880"/>
          </w:tcPr>
          <w:p>
            <w:r>
              <w:t>$50.00 (cash or plan)</w:t>
            </w:r>
          </w:p>
        </w:tc>
      </w:tr>
      <w:tr>
        <w:tc>
          <w:tcPr>
            <w:tcW w:type="dxa" w:w="2880"/>
          </w:tcPr>
          <w:p>
            <w:r>
              <w:t>Total</w:t>
            </w:r>
          </w:p>
        </w:tc>
        <w:tc>
          <w:tcPr>
            <w:tcW w:type="dxa" w:w="2880"/>
          </w:tcPr>
          <w:p>
            <w:r/>
          </w:p>
        </w:tc>
        <w:tc>
          <w:tcPr>
            <w:tcW w:type="dxa" w:w="2880"/>
          </w:tcPr>
          <w:p>
            <w:r>
              <w:t>$1,875.00</w:t>
            </w:r>
          </w:p>
        </w:tc>
      </w:tr>
    </w:tbl>
    <w:p>
      <w:r>
        <w:t>Common errors:</w:t>
      </w:r>
    </w:p>
    <w:p>
      <w:pPr>
        <w:pStyle w:val="ListBullet"/>
      </w:pPr>
      <w:r>
        <w:t>Calculating the OT premium on (base + fringe), inflating the premium amount but distorting the certified payroll math.</w:t>
      </w:r>
    </w:p>
    <w:p>
      <w:pPr>
        <w:pStyle w:val="ListBullet"/>
      </w:pPr>
      <w:r>
        <w:t>Treating fringe as bonus and reducing it during OT hours.</w:t>
      </w:r>
    </w:p>
    <w:p>
      <w:pPr>
        <w:pStyle w:val="ListBullet"/>
      </w:pPr>
      <w:r>
        <w:t>Not paying the fringe at all on hours when the worker exceeds 40 per week.</w:t>
      </w:r>
    </w:p>
    <w:p>
      <w:r>
        <w:t>Apprentices can be paid less than the journeyman rate only if all of the following are true:</w:t>
      </w:r>
    </w:p>
    <w:p>
      <w:pPr>
        <w:pStyle w:val="ListNumber"/>
      </w:pPr>
      <w:r>
        <w:t>The apprentice is individually registered in a USDOL Office of Apprenticeship-approved program (or state-equivalent).</w:t>
      </w:r>
    </w:p>
    <w:p>
      <w:pPr>
        <w:pStyle w:val="ListNumber"/>
      </w:pPr>
      <w:r>
        <w:t>The program's apprentice-to-journeyman ratio is observed on the actual project site.</w:t>
      </w:r>
    </w:p>
    <w:p>
      <w:pPr>
        <w:pStyle w:val="ListNumber"/>
      </w:pPr>
      <w:r>
        <w:t>The percentage of journeyman rate paid matches the apprentice's year/period in the program.</w:t>
      </w:r>
    </w:p>
    <w:p>
      <w:pPr>
        <w:pStyle w:val="ListNumber"/>
      </w:pPr>
      <w:r>
        <w:t>Apprenticeship paperwork (registration number, period) is available for the worker.</w:t>
      </w:r>
    </w:p>
    <w:p>
      <w:r>
        <w:t>If any of the above is missing, the worker must be paid the journeyman rate. The most common audit issue is the on-site ratio — even with valid registration, an apprentice on a site without a journeyman in the same trade in the required ratio is paid as a journeyman for those hours.</w:t>
      </w:r>
    </w:p>
    <w:tbl>
      <w:tblPr>
        <w:tblStyle w:val="LightGrid-Accent1"/>
        <w:tblW w:type="auto" w:w="0"/>
        <w:tblLook w:firstColumn="1" w:firstRow="1" w:lastColumn="0" w:lastRow="0" w:noHBand="0" w:noVBand="1" w:val="04A0"/>
      </w:tblPr>
      <w:tblGrid>
        <w:gridCol w:w="4320"/>
        <w:gridCol w:w="4320"/>
      </w:tblGrid>
      <w:tr>
        <w:tc>
          <w:tcPr>
            <w:tcW w:type="dxa" w:w="4320"/>
          </w:tcPr>
          <w:p>
            <w:r>
              <w:t>Apprenticeship Program Sponsor:</w:t>
            </w:r>
          </w:p>
        </w:tc>
        <w:tc>
          <w:tcPr>
            <w:tcW w:type="dxa" w:w="4320"/>
          </w:tcPr>
          <w:p>
            <w:r>
              <w:t>[Program name]</w:t>
            </w:r>
          </w:p>
        </w:tc>
      </w:tr>
      <w:tr>
        <w:tc>
          <w:tcPr>
            <w:tcW w:type="dxa" w:w="4320"/>
          </w:tcPr>
          <w:p>
            <w:r>
              <w:t>USDOL OA Registration No.:</w:t>
            </w:r>
          </w:p>
        </w:tc>
        <w:tc>
          <w:tcPr>
            <w:tcW w:type="dxa" w:w="4320"/>
          </w:tcPr>
          <w:p>
            <w:r>
              <w:t>[Number]</w:t>
            </w:r>
          </w:p>
        </w:tc>
      </w:tr>
      <w:tr>
        <w:tc>
          <w:tcPr>
            <w:tcW w:type="dxa" w:w="4320"/>
          </w:tcPr>
          <w:p>
            <w:r>
              <w:t>Approved Ratio (Apprentice : Journeyman):</w:t>
            </w:r>
          </w:p>
        </w:tc>
        <w:tc>
          <w:tcPr>
            <w:tcW w:type="dxa" w:w="4320"/>
          </w:tcPr>
          <w:p>
            <w:r>
              <w:t>[Ratio]</w:t>
            </w:r>
          </w:p>
        </w:tc>
      </w:tr>
      <w:tr>
        <w:tc>
          <w:tcPr>
            <w:tcW w:type="dxa" w:w="4320"/>
          </w:tcPr>
          <w:p>
            <w:r>
              <w:t>Approved Wage Percentages by Period:</w:t>
            </w:r>
          </w:p>
        </w:tc>
        <w:tc>
          <w:tcPr>
            <w:tcW w:type="dxa" w:w="4320"/>
          </w:tcPr>
          <w:p>
            <w:r>
              <w:t>[Year 1: 50%; Year 2: 65%; etc.]</w:t>
            </w:r>
          </w:p>
        </w:tc>
      </w:tr>
    </w:tbl>
    <w:p>
      <w:r>
        <w:t>Form WH-347 is the standardized weekly certified payroll form. It is one page per contractor per week, with one row per worker showing the worker's identifying information, classification, daily hours, total hours, rate, gross, and deductions, with a Statement of Compliance attached.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Content</w:t>
            </w:r>
          </w:p>
        </w:tc>
        <w:tc>
          <w:tcPr>
            <w:tcW w:type="dxa" w:w="2880"/>
          </w:tcPr>
          <w:p>
            <w:r>
              <w:t>Notes</w:t>
            </w:r>
          </w:p>
        </w:tc>
      </w:tr>
      <w:tr>
        <w:tc>
          <w:tcPr>
            <w:tcW w:type="dxa" w:w="2880"/>
          </w:tcPr>
          <w:p>
            <w:r>
              <w:t>1</w:t>
            </w:r>
          </w:p>
        </w:tc>
        <w:tc>
          <w:tcPr>
            <w:tcW w:type="dxa" w:w="2880"/>
          </w:tcPr>
          <w:p>
            <w:r>
              <w:t>Worker name and individual identifying number</w:t>
            </w:r>
          </w:p>
        </w:tc>
        <w:tc>
          <w:tcPr>
            <w:tcW w:type="dxa" w:w="2880"/>
          </w:tcPr>
          <w:p>
            <w:r>
              <w:t>Last 4 of SSN historically; current guidance permits an employee ID</w:t>
            </w:r>
          </w:p>
        </w:tc>
      </w:tr>
      <w:tr>
        <w:tc>
          <w:tcPr>
            <w:tcW w:type="dxa" w:w="2880"/>
          </w:tcPr>
          <w:p>
            <w:r>
              <w:t>2</w:t>
            </w:r>
          </w:p>
        </w:tc>
        <w:tc>
          <w:tcPr>
            <w:tcW w:type="dxa" w:w="2880"/>
          </w:tcPr>
          <w:p>
            <w:r>
              <w:t>Number of withholding exemptions</w:t>
            </w:r>
          </w:p>
        </w:tc>
        <w:tc>
          <w:tcPr>
            <w:tcW w:type="dxa" w:w="2880"/>
          </w:tcPr>
          <w:p>
            <w:r>
              <w:t>Optional</w:t>
            </w:r>
          </w:p>
        </w:tc>
      </w:tr>
      <w:tr>
        <w:tc>
          <w:tcPr>
            <w:tcW w:type="dxa" w:w="2880"/>
          </w:tcPr>
          <w:p>
            <w:r>
              <w:t>3</w:t>
            </w:r>
          </w:p>
        </w:tc>
        <w:tc>
          <w:tcPr>
            <w:tcW w:type="dxa" w:w="2880"/>
          </w:tcPr>
          <w:p>
            <w:r>
              <w:t>Work classification</w:t>
            </w:r>
          </w:p>
        </w:tc>
        <w:tc>
          <w:tcPr>
            <w:tcW w:type="dxa" w:w="2880"/>
          </w:tcPr>
          <w:p>
            <w:r>
              <w:t>Must match WD; if classification is split during the week, must reflect each block</w:t>
            </w:r>
          </w:p>
        </w:tc>
      </w:tr>
      <w:tr>
        <w:tc>
          <w:tcPr>
            <w:tcW w:type="dxa" w:w="2880"/>
          </w:tcPr>
          <w:p>
            <w:r>
              <w:t>4</w:t>
            </w:r>
          </w:p>
        </w:tc>
        <w:tc>
          <w:tcPr>
            <w:tcW w:type="dxa" w:w="2880"/>
          </w:tcPr>
          <w:p>
            <w:r>
              <w:t>Day and date — hours worked, ST and OT for each day of the workweek</w:t>
            </w:r>
          </w:p>
        </w:tc>
        <w:tc>
          <w:tcPr>
            <w:tcW w:type="dxa" w:w="2880"/>
          </w:tcPr>
          <w:p>
            <w:r>
              <w:t>Show "S" for Sunday, "M" Monday, etc.; daily hours go in the cell</w:t>
            </w:r>
          </w:p>
        </w:tc>
      </w:tr>
      <w:tr>
        <w:tc>
          <w:tcPr>
            <w:tcW w:type="dxa" w:w="2880"/>
          </w:tcPr>
          <w:p>
            <w:r>
              <w:t>5</w:t>
            </w:r>
          </w:p>
        </w:tc>
        <w:tc>
          <w:tcPr>
            <w:tcW w:type="dxa" w:w="2880"/>
          </w:tcPr>
          <w:p>
            <w:r>
              <w:t>Total hours</w:t>
            </w:r>
          </w:p>
        </w:tc>
        <w:tc>
          <w:tcPr>
            <w:tcW w:type="dxa" w:w="2880"/>
          </w:tcPr>
          <w:p>
            <w:r>
              <w:t>ST and OT separately</w:t>
            </w:r>
          </w:p>
        </w:tc>
      </w:tr>
      <w:tr>
        <w:tc>
          <w:tcPr>
            <w:tcW w:type="dxa" w:w="2880"/>
          </w:tcPr>
          <w:p>
            <w:r>
              <w:t>6</w:t>
            </w:r>
          </w:p>
        </w:tc>
        <w:tc>
          <w:tcPr>
            <w:tcW w:type="dxa" w:w="2880"/>
          </w:tcPr>
          <w:p>
            <w:r>
              <w:t>Rate of pay</w:t>
            </w:r>
          </w:p>
        </w:tc>
        <w:tc>
          <w:tcPr>
            <w:tcW w:type="dxa" w:w="2880"/>
          </w:tcPr>
          <w:p>
            <w:r>
              <w:t>WD Rate + cash-fringe portion; OT rate is base × 1.5 + cash-fringe</w:t>
            </w:r>
          </w:p>
        </w:tc>
      </w:tr>
      <w:tr>
        <w:tc>
          <w:tcPr>
            <w:tcW w:type="dxa" w:w="2880"/>
          </w:tcPr>
          <w:p>
            <w:r>
              <w:t>7</w:t>
            </w:r>
          </w:p>
        </w:tc>
        <w:tc>
          <w:tcPr>
            <w:tcW w:type="dxa" w:w="2880"/>
          </w:tcPr>
          <w:p>
            <w:r>
              <w:t>Gross amount earned</w:t>
            </w:r>
          </w:p>
        </w:tc>
        <w:tc>
          <w:tcPr>
            <w:tcW w:type="dxa" w:w="2880"/>
          </w:tcPr>
          <w:p>
            <w:r>
              <w:t>For the project (and "for all projects this period" if separate)</w:t>
            </w:r>
          </w:p>
        </w:tc>
      </w:tr>
      <w:tr>
        <w:tc>
          <w:tcPr>
            <w:tcW w:type="dxa" w:w="2880"/>
          </w:tcPr>
          <w:p>
            <w:r>
              <w:t>8</w:t>
            </w:r>
          </w:p>
        </w:tc>
        <w:tc>
          <w:tcPr>
            <w:tcW w:type="dxa" w:w="2880"/>
          </w:tcPr>
          <w:p>
            <w:r>
              <w:t>Deductions (FICA, withholding, other)</w:t>
            </w:r>
          </w:p>
        </w:tc>
        <w:tc>
          <w:tcPr>
            <w:tcW w:type="dxa" w:w="2880"/>
          </w:tcPr>
          <w:p>
            <w:r>
              <w:t>Itemized</w:t>
            </w:r>
          </w:p>
        </w:tc>
      </w:tr>
      <w:tr>
        <w:tc>
          <w:tcPr>
            <w:tcW w:type="dxa" w:w="2880"/>
          </w:tcPr>
          <w:p>
            <w:r>
              <w:t>9</w:t>
            </w:r>
          </w:p>
        </w:tc>
        <w:tc>
          <w:tcPr>
            <w:tcW w:type="dxa" w:w="2880"/>
          </w:tcPr>
          <w:p>
            <w:r>
              <w:t>Net wages paid for week</w:t>
            </w:r>
          </w:p>
        </w:tc>
        <w:tc>
          <w:tcPr>
            <w:tcW w:type="dxa" w:w="2880"/>
          </w:tcPr>
          <w:p>
            <w:r/>
          </w:p>
        </w:tc>
      </w:tr>
    </w:tbl>
    <w:p>
      <w:r>
        <w:t>Format note: The form has changed slightly over time. Always use the current WH-347 from the USDOL website or the form authorized by the state agency, not a back-copy.</w:t>
      </w:r>
    </w:p>
    <w:p>
      <w:r>
        <w:t>The Statement of Compliance is the signed certification on the back of WH-347 (or as a separate page). It must be signed by the owner or an authorized officer of the sub each week, under penalty of perjury (18 U.S.C. § 1001 and 31 U.S.C. § 3729 — the False Claims Act). A false Statement of Compliance is a federal felony.</w:t>
      </w:r>
    </w:p>
    <w:p>
      <w:r>
        <w:t>The Statement certifies, among other things, that:</w:t>
      </w:r>
    </w:p>
    <w:p>
      <w:pPr>
        <w:pStyle w:val="ListNumber"/>
      </w:pPr>
      <w:r>
        <w:t>The payroll for the period contains the information required for compliance with the Davis-Bacon Act and related regulations.</w:t>
      </w:r>
    </w:p>
    <w:p>
      <w:pPr>
        <w:pStyle w:val="ListNumber"/>
      </w:pPr>
      <w:r>
        <w:t>The information is correct and complete.</w:t>
      </w:r>
    </w:p>
    <w:p>
      <w:pPr>
        <w:pStyle w:val="ListNumber"/>
      </w:pPr>
      <w:r>
        <w:t>Each laborer or mechanic has been paid the full weekly wages earned, without rebate either directly or indirectly except for permitted deductions.</w:t>
      </w:r>
    </w:p>
    <w:p>
      <w:pPr>
        <w:pStyle w:val="ListNumber"/>
      </w:pPr>
      <w:r>
        <w:t>The classifications shown match the work actually performed.</w:t>
      </w:r>
    </w:p>
    <w:p>
      <w:pPr>
        <w:pStyle w:val="ListNumber"/>
      </w:pPr>
      <w:r>
        <w:t>The wages paid are not less than the applicable wage rates and fringe benefits in the WD.</w:t>
      </w:r>
    </w:p>
    <w:p>
      <w:pPr>
        <w:pStyle w:val="ListNumber"/>
      </w:pPr>
      <w:r>
        <w:t>Fringe benefits have been paid in cash or to approved plans.</w:t>
      </w:r>
    </w:p>
    <w:tbl>
      <w:tblPr>
        <w:tblStyle w:val="LightGrid-Accent1"/>
        <w:tblW w:type="auto" w:w="0"/>
        <w:tblLook w:firstColumn="1" w:firstRow="1" w:lastColumn="0" w:lastRow="0" w:noHBand="0" w:noVBand="1" w:val="04A0"/>
      </w:tblPr>
      <w:tblGrid>
        <w:gridCol w:w="4320"/>
        <w:gridCol w:w="4320"/>
      </w:tblGrid>
      <w:tr>
        <w:tc>
          <w:tcPr>
            <w:tcW w:type="dxa" w:w="4320"/>
          </w:tcPr>
          <w:p>
            <w:r>
              <w:t>Submission cadence:</w:t>
            </w:r>
          </w:p>
        </w:tc>
        <w:tc>
          <w:tcPr>
            <w:tcW w:type="dxa" w:w="4320"/>
          </w:tcPr>
          <w:p>
            <w:r>
              <w:t>Weekly to GC within[7]days after the close of the regular pay period</w:t>
            </w:r>
          </w:p>
        </w:tc>
      </w:tr>
      <w:tr>
        <w:tc>
          <w:tcPr>
            <w:tcW w:type="dxa" w:w="4320"/>
          </w:tcPr>
          <w:p>
            <w:r>
              <w:t>Retention period:</w:t>
            </w:r>
          </w:p>
        </w:tc>
        <w:tc>
          <w:tcPr>
            <w:tcW w:type="dxa" w:w="4320"/>
          </w:tcPr>
          <w:p>
            <w:r>
              <w:t>3 years from completion of the contract (federal); states often longer (CA = 4 years)</w:t>
            </w:r>
          </w:p>
        </w:tc>
      </w:tr>
      <w:tr>
        <w:tc>
          <w:tcPr>
            <w:tcW w:type="dxa" w:w="4320"/>
          </w:tcPr>
          <w:p>
            <w:r>
              <w:t>Records to retain:</w:t>
            </w:r>
          </w:p>
        </w:tc>
        <w:tc>
          <w:tcPr>
            <w:tcW w:type="dxa" w:w="4320"/>
          </w:tcPr>
          <w:p>
            <w:r>
              <w:t>Payroll records, daily time records, classification records, apprenticeship registrations, fringe-plan contribution records, deduction authorizations, employee notices posted</w:t>
            </w:r>
          </w:p>
        </w:tc>
      </w:tr>
      <w:tr>
        <w:tc>
          <w:tcPr>
            <w:tcW w:type="dxa" w:w="4320"/>
          </w:tcPr>
          <w:p>
            <w:r>
              <w:t>Required posters at jobsite:</w:t>
            </w:r>
          </w:p>
        </w:tc>
        <w:tc>
          <w:tcPr>
            <w:tcW w:type="dxa" w:w="4320"/>
          </w:tcPr>
          <w:p>
            <w:r>
              <w:t>Davis-Bacon Wage Poster (WH-1321); applicable state poster</w:t>
            </w:r>
          </w:p>
        </w:tc>
      </w:tr>
      <w:tr>
        <w:tc>
          <w:tcPr>
            <w:tcW w:type="dxa" w:w="4320"/>
          </w:tcPr>
          <w:p>
            <w:r>
              <w:t>First Davis-Bacon project? Register with the agency:</w:t>
            </w:r>
          </w:p>
        </w:tc>
        <w:tc>
          <w:tcPr>
            <w:tcW w:type="dxa" w:w="4320"/>
          </w:tcPr>
          <w:p>
            <w:r>
              <w:t>Set up the prime contract number and confirm GC has prequalified the sub for prevailing-wage work</w:t>
            </w:r>
          </w:p>
        </w:tc>
      </w:tr>
    </w:tbl>
    <w:tbl>
      <w:tblPr>
        <w:tblStyle w:val="LightGrid-Accent1"/>
        <w:tblW w:type="auto" w:w="0"/>
        <w:tblLook w:firstColumn="1" w:firstRow="1" w:lastColumn="0" w:lastRow="0" w:noHBand="0" w:noVBand="1" w:val="04A0"/>
      </w:tblPr>
      <w:tblGrid>
        <w:gridCol w:w="4320"/>
        <w:gridCol w:w="4320"/>
      </w:tblGrid>
      <w:tr>
        <w:tc>
          <w:tcPr>
            <w:tcW w:type="dxa" w:w="4320"/>
          </w:tcPr>
          <w:p>
            <w:r>
              <w:t>Violation</w:t>
            </w:r>
          </w:p>
        </w:tc>
        <w:tc>
          <w:tcPr>
            <w:tcW w:type="dxa" w:w="4320"/>
          </w:tcPr>
          <w:p>
            <w:r>
              <w:t>Penalty</w:t>
            </w:r>
          </w:p>
        </w:tc>
      </w:tr>
      <w:tr>
        <w:tc>
          <w:tcPr>
            <w:tcW w:type="dxa" w:w="4320"/>
          </w:tcPr>
          <w:p>
            <w:r>
              <w:t>Underpayment of wages</w:t>
            </w:r>
          </w:p>
        </w:tc>
        <w:tc>
          <w:tcPr>
            <w:tcW w:type="dxa" w:w="4320"/>
          </w:tcPr>
          <w:p>
            <w:r>
              <w:t>Back wages + interest; restitution from contractor to worker</w:t>
            </w:r>
          </w:p>
        </w:tc>
      </w:tr>
      <w:tr>
        <w:tc>
          <w:tcPr>
            <w:tcW w:type="dxa" w:w="4320"/>
          </w:tcPr>
          <w:p>
            <w:r>
              <w:t>Misclassification of worker</w:t>
            </w:r>
          </w:p>
        </w:tc>
        <w:tc>
          <w:tcPr>
            <w:tcW w:type="dxa" w:w="4320"/>
          </w:tcPr>
          <w:p>
            <w:r>
              <w:t>Back wages at correct classification rate + interest</w:t>
            </w:r>
          </w:p>
        </w:tc>
      </w:tr>
      <w:tr>
        <w:tc>
          <w:tcPr>
            <w:tcW w:type="dxa" w:w="4320"/>
          </w:tcPr>
          <w:p>
            <w:r>
              <w:t>Failure to pay fringe</w:t>
            </w:r>
          </w:p>
        </w:tc>
        <w:tc>
          <w:tcPr>
            <w:tcW w:type="dxa" w:w="4320"/>
          </w:tcPr>
          <w:p>
            <w:r>
              <w:t>Back wages + interest</w:t>
            </w:r>
          </w:p>
        </w:tc>
      </w:tr>
      <w:tr>
        <w:tc>
          <w:tcPr>
            <w:tcW w:type="dxa" w:w="4320"/>
          </w:tcPr>
          <w:p>
            <w:r>
              <w:t>Apprenticeship-ratio violation</w:t>
            </w:r>
          </w:p>
        </w:tc>
        <w:tc>
          <w:tcPr>
            <w:tcW w:type="dxa" w:w="4320"/>
          </w:tcPr>
          <w:p>
            <w:r>
              <w:t>Apprentices reclassified to journeyman for the week; back pay at journeyman rate</w:t>
            </w:r>
          </w:p>
        </w:tc>
      </w:tr>
      <w:tr>
        <w:tc>
          <w:tcPr>
            <w:tcW w:type="dxa" w:w="4320"/>
          </w:tcPr>
          <w:p>
            <w:r>
              <w:t>False Statement of Compliance</w:t>
            </w:r>
          </w:p>
        </w:tc>
        <w:tc>
          <w:tcPr>
            <w:tcW w:type="dxa" w:w="4320"/>
          </w:tcPr>
          <w:p>
            <w:r>
              <w:t>FCA: treble damages + statutory per-claim penalties + debarment; criminal: 18 U.S.C. § 1001</w:t>
            </w:r>
          </w:p>
        </w:tc>
      </w:tr>
      <w:tr>
        <w:tc>
          <w:tcPr>
            <w:tcW w:type="dxa" w:w="4320"/>
          </w:tcPr>
          <w:p>
            <w:r>
              <w:t>Failure to keep records</w:t>
            </w:r>
          </w:p>
        </w:tc>
        <w:tc>
          <w:tcPr>
            <w:tcW w:type="dxa" w:w="4320"/>
          </w:tcPr>
          <w:p>
            <w:r>
              <w:t>Civil penalties; presumption against the contractor on disputed time</w:t>
            </w:r>
          </w:p>
        </w:tc>
      </w:tr>
      <w:tr>
        <w:tc>
          <w:tcPr>
            <w:tcW w:type="dxa" w:w="4320"/>
          </w:tcPr>
          <w:p>
            <w:r>
              <w:t>Repeated or willful violations</w:t>
            </w:r>
          </w:p>
        </w:tc>
        <w:tc>
          <w:tcPr>
            <w:tcW w:type="dxa" w:w="4320"/>
          </w:tcPr>
          <w:p>
            <w:r>
              <w:t>Debarment — exclusion from federal contracts for up to 3 years (longer in some states)</w:t>
            </w:r>
          </w:p>
        </w:tc>
      </w:tr>
    </w:tbl>
    <w:p>
      <w:r>
        <w:t>This summary indicates the general regime; it does not reflect every nuance. Confirm against the controlling state labor department before bidding.</w:t>
      </w:r>
    </w:p>
    <w:tbl>
      <w:tblPr>
        <w:tblStyle w:val="LightGrid-Accent1"/>
        <w:tblW w:type="auto" w:w="0"/>
        <w:tblLook w:firstColumn="1" w:firstRow="1" w:lastColumn="0" w:lastRow="0" w:noHBand="0" w:noVBand="1" w:val="04A0"/>
      </w:tblPr>
      <w:tblGrid>
        <w:gridCol w:w="4320"/>
        <w:gridCol w:w="4320"/>
      </w:tblGrid>
      <w:tr>
        <w:tc>
          <w:tcPr>
            <w:tcW w:type="dxa" w:w="4320"/>
          </w:tcPr>
          <w:p>
            <w:r>
              <w:t>State group</w:t>
            </w:r>
          </w:p>
        </w:tc>
        <w:tc>
          <w:tcPr>
            <w:tcW w:type="dxa" w:w="4320"/>
          </w:tcPr>
          <w:p>
            <w:r>
              <w:t>Regime</w:t>
            </w:r>
          </w:p>
        </w:tc>
      </w:tr>
      <w:tr>
        <w:tc>
          <w:tcPr>
            <w:tcW w:type="dxa" w:w="4320"/>
          </w:tcPr>
          <w:p>
            <w:r>
              <w:t>Has its own Little Davis-Bacon (most states)</w:t>
            </w:r>
          </w:p>
        </w:tc>
        <w:tc>
          <w:tcPr>
            <w:tcW w:type="dxa" w:w="4320"/>
          </w:tcPr>
          <w:p>
            <w:r>
              <w:t>CA, NY, NJ, PA, MA, IL, OH, MI, WA, OR, HI, MN, MD, CT, RI, ME, NM, NV, MO, NE, IN, AR, WI (and others). Each has its own form, threshold, and enforcement; many are stricter than federal.</w:t>
            </w:r>
          </w:p>
        </w:tc>
      </w:tr>
      <w:tr>
        <w:tc>
          <w:tcPr>
            <w:tcW w:type="dxa" w:w="4320"/>
          </w:tcPr>
          <w:p>
            <w:r>
              <w:t>No state prevailing wage on state-funded work</w:t>
            </w:r>
          </w:p>
        </w:tc>
        <w:tc>
          <w:tcPr>
            <w:tcW w:type="dxa" w:w="4320"/>
          </w:tcPr>
          <w:p>
            <w:r>
              <w:t>AL, AZ, CO (recently changed — verify), FL, GA, ID, IA, KS, KY, LA, MS, NH, NC, ND, OK, SC, SD, TN, TX, UT, VA, WV, WY (subject to legislative changes — verify each year).</w:t>
            </w:r>
          </w:p>
        </w:tc>
      </w:tr>
      <w:tr>
        <w:tc>
          <w:tcPr>
            <w:tcW w:type="dxa" w:w="4320"/>
          </w:tcPr>
          <w:p>
            <w:r>
              <w:t>Limited / partial</w:t>
            </w:r>
          </w:p>
        </w:tc>
        <w:tc>
          <w:tcPr>
            <w:tcW w:type="dxa" w:w="4320"/>
          </w:tcPr>
          <w:p>
            <w:r>
              <w:t>Some states apply prevailing wage only to certain trades or project sizes.</w:t>
            </w:r>
          </w:p>
        </w:tc>
      </w:tr>
    </w:tbl>
    <w:p>
      <w:r>
        <w:t>Federal Davis-Bacon and DBRAs apply regardless of state law. On a federally funded project in a non-prevailing-wage state, the federal regime still applies.</w:t>
      </w:r>
    </w:p>
    <w:p>
      <w:pPr>
        <w:pStyle w:val="ListNumber"/>
      </w:pPr>
      <w:r>
        <w:t>☐ Wage Determination obtained from GC and reviewed for the sub's classifications.</w:t>
      </w:r>
    </w:p>
    <w:p>
      <w:pPr>
        <w:pStyle w:val="ListNumber"/>
      </w:pPr>
      <w:r>
        <w:t>☐ Each crew member's classification confirmed against WD; payroll system rates updated.</w:t>
      </w:r>
    </w:p>
    <w:p>
      <w:pPr>
        <w:pStyle w:val="ListNumber"/>
      </w:pPr>
      <w:r>
        <w:t>☐ Fringe delivery method confirmed (cash vs. plan); plan documentation gathered.</w:t>
      </w:r>
    </w:p>
    <w:p>
      <w:pPr>
        <w:pStyle w:val="ListNumber"/>
      </w:pPr>
      <w:r>
        <w:t>☐ Apprentice program registrations on file; on-site ratio plan documented.</w:t>
      </w:r>
    </w:p>
    <w:p>
      <w:pPr>
        <w:pStyle w:val="ListNumber"/>
      </w:pPr>
      <w:r>
        <w:t>☐ Time-tracking system configured for daily and classification-level reporting.</w:t>
      </w:r>
    </w:p>
    <w:p>
      <w:pPr>
        <w:pStyle w:val="ListNumber"/>
      </w:pPr>
      <w:r>
        <w:t>☐ WH-347 template loaded into the Certified Payroll Tracker workbook; payroll-clerk trained on the form.</w:t>
      </w:r>
    </w:p>
    <w:p>
      <w:pPr>
        <w:pStyle w:val="ListNumber"/>
      </w:pPr>
      <w:r>
        <w:t>☐ Wage poster (WH-1321) and state poster delivered to jobsite for posting.</w:t>
      </w:r>
    </w:p>
    <w:p>
      <w:pPr>
        <w:pStyle w:val="ListNumber"/>
      </w:pPr>
      <w:r>
        <w:t>☐ Statement-of-Compliance signatory identified; signatory briefed on FCA exposure.</w:t>
      </w:r>
    </w:p>
    <w:p>
      <w:pPr>
        <w:pStyle w:val="ListNumber"/>
      </w:pPr>
      <w:r>
        <w:t>☐ Weekly submission cadence and method agreed with GC.</w:t>
      </w:r>
    </w:p>
    <w:p>
      <w:pPr>
        <w:pStyle w:val="ListNumber"/>
      </w:pPr>
      <w:r>
        <w:t>☐ Outside counsel or certified-payroll services firm engaged for the first project.</w:t>
      </w:r>
    </w:p>
    <w:p>
      <w:pPr>
        <w:pStyle w:val="ListNumber"/>
      </w:pPr>
      <w:r>
        <w:t>☐ Project-specific recordkeeping folder set up; retention schedule calendared (3+ years).</w:t>
      </w:r>
    </w:p>
    <w:p>
      <w:pPr>
        <w:pStyle w:val="ListNumber"/>
      </w:pPr>
      <w:r>
        <w:t>☐ Audit-readiness review scheduled at the 4-week mark.</w:t>
      </w:r>
    </w:p>
    <w:p>
      <w:r>
        <w:t>Document version: 2026-05-17 (v1.0) — ContrPro Universal Sub Suite. Federal Davis-Bacon citations are to the Act (40 U.S.C. § 3141 et seq.) and the implementing regulations (29 C.F.R. Parts 1, 3, and 5); state citations vary. Wage determinations and state thresholds change frequently — verify against beta.SAM.gov (federal) or the state labor department before relying on any specific dollar threshold or classification.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