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Subcontract Review Checklist is a sub-perspective working document the project manager, controller, and outside counsel use to flag risk when a GC tenders a Subcontract for execution. It is organized to mirror the article structure of the ContrPro </w:t>
      </w:r>
      <w:r>
        <w:rPr>
          <w:i/>
        </w:rPr>
        <w:t>Master Subcontract Agreement</w:t>
      </w:r>
      <w:r>
        <w:t xml:space="preserve"> (GC suite) and the AIA A401 form, so the reviewer can move clause-by-clause through the tendered agreement and resolve every risk item before signing. </w:t>
      </w:r>
      <w:r>
        <w:rPr>
          <w:b/>
        </w:rPr>
        <w:t>This is a working checklist, not legal advice.</w:t>
      </w:r>
      <w:r>
        <w:t xml:space="preserve"> Construction-contract enforceability turns on the law of the state of the Project — anti-indemnity statutes, lien-waiver statutes, pay-if-paid enforceability, and statute-of-repose periods all vary by state. Have construction counsel licensed in the state of the Project review the tendered Subcontract before execution, especially the first time you sign with a new GC or take on a new project type.</w:t>
        <w:br/>
        <w:t xml:space="preserve">        </w:t>
      </w:r>
    </w:p>
    <w:p>
      <w:pPr>
        <w:pStyle w:val="ListNumber"/>
      </w:pPr>
      <w:r>
        <w:t>Section 1 — Threshold Deal-Killers (Read First)</w:t>
      </w:r>
    </w:p>
    <w:p>
      <w:pPr>
        <w:pStyle w:val="ListNumber"/>
      </w:pPr>
      <w:r>
        <w:t>Article 1 — Subcontract Documents</w:t>
      </w:r>
    </w:p>
    <w:p>
      <w:pPr>
        <w:pStyle w:val="ListNumber"/>
      </w:pPr>
      <w:r>
        <w:t>Article 2 — Scope of Work</w:t>
      </w:r>
    </w:p>
    <w:p>
      <w:pPr>
        <w:pStyle w:val="ListNumber"/>
      </w:pPr>
      <w:r>
        <w:t>Article 3 — Time of Performance &amp; Liquidated Damages</w:t>
      </w:r>
    </w:p>
    <w:p>
      <w:pPr>
        <w:pStyle w:val="ListNumber"/>
      </w:pPr>
      <w:r>
        <w:t>Article 4 — Payment Terms (Pay-When-Paid vs. Pay-If-Paid)</w:t>
      </w:r>
    </w:p>
    <w:p>
      <w:pPr>
        <w:pStyle w:val="ListNumber"/>
      </w:pPr>
      <w:r>
        <w:t>Article 5 — Changes in the Work</w:t>
      </w:r>
    </w:p>
    <w:p>
      <w:pPr>
        <w:pStyle w:val="ListNumber"/>
      </w:pPr>
      <w:r>
        <w:t>Article 6 — Insurance</w:t>
      </w:r>
    </w:p>
    <w:p>
      <w:pPr>
        <w:pStyle w:val="ListNumber"/>
      </w:pPr>
      <w:r>
        <w:t>Article 7 — Bonds</w:t>
      </w:r>
    </w:p>
    <w:p>
      <w:pPr>
        <w:pStyle w:val="ListNumber"/>
      </w:pPr>
      <w:r>
        <w:t>Article 8 — Indemnification</w:t>
      </w:r>
    </w:p>
    <w:p>
      <w:pPr>
        <w:pStyle w:val="ListNumber"/>
      </w:pPr>
      <w:r>
        <w:t>Article 9 — Lien Waivers &amp; Flow-Down</w:t>
      </w:r>
    </w:p>
    <w:p>
      <w:pPr>
        <w:pStyle w:val="ListNumber"/>
      </w:pPr>
      <w:r>
        <w:t>Article 10 — Warranties</w:t>
      </w:r>
    </w:p>
    <w:p>
      <w:pPr>
        <w:pStyle w:val="ListNumber"/>
      </w:pPr>
      <w:r>
        <w:t>Article 11 — Lower-Tier Subs</w:t>
      </w:r>
    </w:p>
    <w:p>
      <w:pPr>
        <w:pStyle w:val="ListNumber"/>
      </w:pPr>
      <w:r>
        <w:t>Article 12 — Safety &amp; Site Rules</w:t>
      </w:r>
    </w:p>
    <w:p>
      <w:pPr>
        <w:pStyle w:val="ListNumber"/>
      </w:pPr>
      <w:r>
        <w:t>Article 13 — Default &amp; Termination</w:t>
      </w:r>
    </w:p>
    <w:p>
      <w:pPr>
        <w:pStyle w:val="ListNumber"/>
      </w:pPr>
      <w:r>
        <w:t>Article 14 — Dispute Resolution</w:t>
      </w:r>
    </w:p>
    <w:p>
      <w:pPr>
        <w:pStyle w:val="ListNumber"/>
      </w:pPr>
      <w:r>
        <w:t>Article 15 — Miscellaneous Provisions</w:t>
      </w:r>
    </w:p>
    <w:p>
      <w:pPr>
        <w:pStyle w:val="ListNumber"/>
      </w:pPr>
      <w:r>
        <w:t>Section 17 — State-Law Sanity Check</w:t>
      </w:r>
    </w:p>
    <w:p>
      <w:pPr>
        <w:pStyle w:val="ListNumber"/>
      </w:pPr>
      <w:r>
        <w:t>Section 18 — Final Sign-Off Table</w:t>
      </w:r>
    </w:p>
    <w:p>
      <w:r>
        <w:t>Before going clause-by-clause, screen the tendered Subcontract for the following five threshold items. Any one of these, left as drafted, is enough to justify rejecting the Subcontract or pricing a substantial risk premium. If three or more appear together, the GC is tendering a risk-shift package that should not be signed without principal-level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Threshold Item</w:t>
            </w:r>
          </w:p>
        </w:tc>
        <w:tc>
          <w:tcPr>
            <w:tcW w:type="dxa" w:w="2160"/>
          </w:tcPr>
          <w:p>
            <w:r>
              <w:t>Where to look</w:t>
            </w:r>
          </w:p>
        </w:tc>
        <w:tc>
          <w:tcPr>
            <w:tcW w:type="dxa" w:w="2160"/>
          </w:tcPr>
          <w:p>
            <w:r>
              <w:t>Resolved?</w:t>
            </w:r>
          </w:p>
        </w:tc>
      </w:tr>
      <w:tr>
        <w:tc>
          <w:tcPr>
            <w:tcW w:type="dxa" w:w="2160"/>
          </w:tcPr>
          <w:p>
            <w:r>
              <w:t>1</w:t>
            </w:r>
          </w:p>
        </w:tc>
        <w:tc>
          <w:tcPr>
            <w:tcW w:type="dxa" w:w="2160"/>
          </w:tcPr>
          <w:p>
            <w:r>
              <w:t>Pay-IF-paid (vs. pay-when-paid) language — owner non-payment shifts to Sub</w:t>
            </w:r>
          </w:p>
        </w:tc>
        <w:tc>
          <w:tcPr>
            <w:tcW w:type="dxa" w:w="2160"/>
          </w:tcPr>
          <w:p>
            <w:r>
              <w:t>Article 4 / payment clause</w:t>
            </w:r>
          </w:p>
        </w:tc>
        <w:tc>
          <w:tcPr>
            <w:tcW w:type="dxa" w:w="2160"/>
          </w:tcPr>
          <w:p>
            <w:r>
              <w:t>☐</w:t>
            </w:r>
          </w:p>
        </w:tc>
      </w:tr>
      <w:tr>
        <w:tc>
          <w:tcPr>
            <w:tcW w:type="dxa" w:w="2160"/>
          </w:tcPr>
          <w:p>
            <w:r>
              <w:t>2</w:t>
            </w:r>
          </w:p>
        </w:tc>
        <w:tc>
          <w:tcPr>
            <w:tcW w:type="dxa" w:w="2160"/>
          </w:tcPr>
          <w:p>
            <w:r>
              <w:t>Broad-form (sole-negligence) indemnity from Sub to GC and Owner</w:t>
            </w:r>
          </w:p>
        </w:tc>
        <w:tc>
          <w:tcPr>
            <w:tcW w:type="dxa" w:w="2160"/>
          </w:tcPr>
          <w:p>
            <w:r>
              <w:t>Article 8 / indemnification</w:t>
            </w:r>
          </w:p>
        </w:tc>
        <w:tc>
          <w:tcPr>
            <w:tcW w:type="dxa" w:w="2160"/>
          </w:tcPr>
          <w:p>
            <w:r>
              <w:t>☐</w:t>
            </w:r>
          </w:p>
        </w:tc>
      </w:tr>
      <w:tr>
        <w:tc>
          <w:tcPr>
            <w:tcW w:type="dxa" w:w="2160"/>
          </w:tcPr>
          <w:p>
            <w:r>
              <w:t>3</w:t>
            </w:r>
          </w:p>
        </w:tc>
        <w:tc>
          <w:tcPr>
            <w:tcW w:type="dxa" w:w="2160"/>
          </w:tcPr>
          <w:p>
            <w:r>
              <w:t>Unlimited or daily liquidated damages flowed down to Sub from prime</w:t>
            </w:r>
          </w:p>
        </w:tc>
        <w:tc>
          <w:tcPr>
            <w:tcW w:type="dxa" w:w="2160"/>
          </w:tcPr>
          <w:p>
            <w:r>
              <w:t>Article 3 / time + LDs</w:t>
            </w:r>
          </w:p>
        </w:tc>
        <w:tc>
          <w:tcPr>
            <w:tcW w:type="dxa" w:w="2160"/>
          </w:tcPr>
          <w:p>
            <w:r>
              <w:t>☐</w:t>
            </w:r>
          </w:p>
        </w:tc>
      </w:tr>
      <w:tr>
        <w:tc>
          <w:tcPr>
            <w:tcW w:type="dxa" w:w="2160"/>
          </w:tcPr>
          <w:p>
            <w:r>
              <w:t>4</w:t>
            </w:r>
          </w:p>
        </w:tc>
        <w:tc>
          <w:tcPr>
            <w:tcW w:type="dxa" w:w="2160"/>
          </w:tcPr>
          <w:p>
            <w:r>
              <w:t>Termination-for-convenience without payment for work performed + reasonable overhead/profit</w:t>
            </w:r>
          </w:p>
        </w:tc>
        <w:tc>
          <w:tcPr>
            <w:tcW w:type="dxa" w:w="2160"/>
          </w:tcPr>
          <w:p>
            <w:r>
              <w:t>Article 13 / termination</w:t>
            </w:r>
          </w:p>
        </w:tc>
        <w:tc>
          <w:tcPr>
            <w:tcW w:type="dxa" w:w="2160"/>
          </w:tcPr>
          <w:p>
            <w:r>
              <w:t>☐</w:t>
            </w:r>
          </w:p>
        </w:tc>
      </w:tr>
      <w:tr>
        <w:tc>
          <w:tcPr>
            <w:tcW w:type="dxa" w:w="2160"/>
          </w:tcPr>
          <w:p>
            <w:r>
              <w:t>5</w:t>
            </w:r>
          </w:p>
        </w:tc>
        <w:tc>
          <w:tcPr>
            <w:tcW w:type="dxa" w:w="2160"/>
          </w:tcPr>
          <w:p>
            <w:r>
              <w:t>Choice-of-law / venue in a state with no project connection (and Sub has no presence there)</w:t>
            </w:r>
          </w:p>
        </w:tc>
        <w:tc>
          <w:tcPr>
            <w:tcW w:type="dxa" w:w="2160"/>
          </w:tcPr>
          <w:p>
            <w:r>
              <w:t>Article 14 / dispute resolution</w:t>
            </w:r>
          </w:p>
        </w:tc>
        <w:tc>
          <w:tcPr>
            <w:tcW w:type="dxa" w:w="2160"/>
          </w:tcPr>
          <w:p>
            <w:r>
              <w:t>☐</w:t>
            </w:r>
          </w:p>
        </w:tc>
      </w:tr>
    </w:tbl>
    <w:p>
      <w:r>
        <w:t>Standard GC language incorporates the Prime Contract between Owner and GC into the Subcontract "by reference," binding the Sub to flow-down obligations from a document the Sub may never have seen. The risk is in the unseen — Prime Contract clauses on schedule, change orders, lien waivers, insurance, and indemnity flow through to the Sub silently.</w:t>
      </w:r>
    </w:p>
    <w:tbl>
      <w:tblPr>
        <w:tblStyle w:val="LightGrid-Accent1"/>
        <w:tblW w:type="auto" w:w="0"/>
        <w:tblLook w:firstColumn="1" w:firstRow="1" w:lastColumn="0" w:lastRow="0" w:noHBand="0" w:noVBand="1" w:val="04A0"/>
      </w:tblPr>
      <w:tblGrid>
        <w:gridCol w:w="4320"/>
        <w:gridCol w:w="4320"/>
      </w:tblGrid>
      <w:tr>
        <w:tc>
          <w:tcPr>
            <w:tcW w:type="dxa" w:w="4320"/>
          </w:tcPr>
          <w:p>
            <w:r>
              <w:t>Was Prime Contract (redacted as needed) reviewed by Sub before signing?</w:t>
            </w:r>
          </w:p>
        </w:tc>
        <w:tc>
          <w:tcPr>
            <w:tcW w:type="dxa" w:w="4320"/>
          </w:tcPr>
          <w:p>
            <w:r>
              <w:t>☐ Yes   ☐ No — request</w:t>
            </w:r>
          </w:p>
        </w:tc>
      </w:tr>
      <w:tr>
        <w:tc>
          <w:tcPr>
            <w:tcW w:type="dxa" w:w="4320"/>
          </w:tcPr>
          <w:p>
            <w:r>
              <w:t>Are flow-down provisions limited to "extent of the Work"?</w:t>
            </w:r>
          </w:p>
        </w:tc>
        <w:tc>
          <w:tcPr>
            <w:tcW w:type="dxa" w:w="4320"/>
          </w:tcPr>
          <w:p>
            <w:r>
              <w:t>☐ Yes   ☐ No — redline</w:t>
            </w:r>
          </w:p>
        </w:tc>
      </w:tr>
      <w:tr>
        <w:tc>
          <w:tcPr>
            <w:tcW w:type="dxa" w:w="4320"/>
          </w:tcPr>
          <w:p>
            <w:r>
              <w:t>Conflicts between Subcontract and Prime Contract resolved how?</w:t>
            </w:r>
          </w:p>
        </w:tc>
        <w:tc>
          <w:tcPr>
            <w:tcW w:type="dxa" w:w="4320"/>
          </w:tcPr>
          <w:p>
            <w:r>
              <w:t>[Cite clause]— preference: Subcontract controls between GC and Sub</w:t>
            </w:r>
          </w:p>
        </w:tc>
      </w:tr>
    </w:tbl>
    <w:p>
      <w:r>
        <w:t>The Scope of Work clause defines what the Sub will and will not do. The risk is open-ended scope expansion — "all work as shown or reasonably inferable," "complete and operational system," "all work necessary to coordinate with other trades." Each of these is industry-standard for full-service Subs but each contains escalation risk that should be priced or limited.</w:t>
      </w:r>
    </w:p>
    <w:p>
      <w:r>
        <w:t>Time-of-performance clauses tie the Sub to a project schedule and (frequently) flow LDs down from the Prime Contract. Risk: (a) "time is of the essence" + flowed-down LDs without a corresponding right to time extensions; (b) Sub bears LD risk for delay it did not cause.</w:t>
      </w:r>
    </w:p>
    <w:tbl>
      <w:tblPr>
        <w:tblStyle w:val="LightGrid-Accent1"/>
        <w:tblW w:type="auto" w:w="0"/>
        <w:tblLook w:firstColumn="1" w:firstRow="1" w:lastColumn="0" w:lastRow="0" w:noHBand="0" w:noVBand="1" w:val="04A0"/>
      </w:tblPr>
      <w:tblGrid>
        <w:gridCol w:w="4320"/>
        <w:gridCol w:w="4320"/>
      </w:tblGrid>
      <w:tr>
        <w:tc>
          <w:tcPr>
            <w:tcW w:type="dxa" w:w="4320"/>
          </w:tcPr>
          <w:p>
            <w:r>
              <w:t>Prime-Contract LD rate (daily):</w:t>
            </w:r>
          </w:p>
        </w:tc>
        <w:tc>
          <w:tcPr>
            <w:tcW w:type="dxa" w:w="4320"/>
          </w:tcPr>
          <w:p>
            <w:r>
              <w:t>$[Rate]</w:t>
            </w:r>
          </w:p>
        </w:tc>
      </w:tr>
      <w:tr>
        <w:tc>
          <w:tcPr>
            <w:tcW w:type="dxa" w:w="4320"/>
          </w:tcPr>
          <w:p>
            <w:r>
              <w:t>Subcontract LD rate (daily):</w:t>
            </w:r>
          </w:p>
        </w:tc>
        <w:tc>
          <w:tcPr>
            <w:tcW w:type="dxa" w:w="4320"/>
          </w:tcPr>
          <w:p>
            <w:r>
              <w:t>$[Rate]</w:t>
            </w:r>
          </w:p>
        </w:tc>
      </w:tr>
      <w:tr>
        <w:tc>
          <w:tcPr>
            <w:tcW w:type="dxa" w:w="4320"/>
          </w:tcPr>
          <w:p>
            <w:r>
              <w:t>Subcontract LD cap (aggregate):</w:t>
            </w:r>
          </w:p>
        </w:tc>
        <w:tc>
          <w:tcPr>
            <w:tcW w:type="dxa" w:w="4320"/>
          </w:tcPr>
          <w:p>
            <w:r>
              <w:t>$[Cap]</w:t>
            </w:r>
          </w:p>
        </w:tc>
      </w:tr>
      <w:tr>
        <w:tc>
          <w:tcPr>
            <w:tcW w:type="dxa" w:w="4320"/>
          </w:tcPr>
          <w:p>
            <w:r>
              <w:t>Sub right to time extensions?</w:t>
            </w:r>
          </w:p>
        </w:tc>
        <w:tc>
          <w:tcPr>
            <w:tcW w:type="dxa" w:w="4320"/>
          </w:tcPr>
          <w:p>
            <w:r>
              <w:t>☐ Yes   ☐ No — redline</w:t>
            </w:r>
          </w:p>
        </w:tc>
      </w:tr>
      <w:tr>
        <w:tc>
          <w:tcPr>
            <w:tcW w:type="dxa" w:w="4320"/>
          </w:tcPr>
          <w:p>
            <w:r>
              <w:t>"No damages for delay" present?</w:t>
            </w:r>
          </w:p>
        </w:tc>
        <w:tc>
          <w:tcPr>
            <w:tcW w:type="dxa" w:w="4320"/>
          </w:tcPr>
          <w:p>
            <w:r>
              <w:t>☐ Yes — redline   ☐ No</w:t>
            </w:r>
          </w:p>
        </w:tc>
      </w:tr>
    </w:tbl>
    <w:p>
      <w:r>
        <w:t>The single most consequential clause in any commercial Subcontract. The distinction:</w:t>
      </w:r>
    </w:p>
    <w:tbl>
      <w:tblPr>
        <w:tblStyle w:val="LightGrid-Accent1"/>
        <w:tblW w:type="auto" w:w="0"/>
        <w:tblLook w:firstColumn="1" w:firstRow="1" w:lastColumn="0" w:lastRow="0" w:noHBand="0" w:noVBand="1" w:val="04A0"/>
      </w:tblPr>
      <w:tblGrid>
        <w:gridCol w:w="4320"/>
        <w:gridCol w:w="4320"/>
      </w:tblGrid>
      <w:tr>
        <w:tc>
          <w:tcPr>
            <w:tcW w:type="dxa" w:w="4320"/>
          </w:tcPr>
          <w:p>
            <w:r>
              <w:t>Construct</w:t>
            </w:r>
          </w:p>
        </w:tc>
        <w:tc>
          <w:tcPr>
            <w:tcW w:type="dxa" w:w="4320"/>
          </w:tcPr>
          <w:p>
            <w:r>
              <w:t>Effect</w:t>
            </w:r>
          </w:p>
        </w:tc>
      </w:tr>
      <w:tr>
        <w:tc>
          <w:tcPr>
            <w:tcW w:type="dxa" w:w="4320"/>
          </w:tcPr>
          <w:p>
            <w:r>
              <w:t>Pay-When-Paid (PWP)</w:t>
            </w:r>
          </w:p>
        </w:tc>
        <w:tc>
          <w:tcPr>
            <w:tcW w:type="dxa" w:w="4320"/>
          </w:tcPr>
          <w:p>
            <w:r>
              <w:t>Owner non-payment delays GC payment to Sub for a reasonable time; eventually GC pays regardless.</w:t>
            </w:r>
          </w:p>
        </w:tc>
      </w:tr>
      <w:tr>
        <w:tc>
          <w:tcPr>
            <w:tcW w:type="dxa" w:w="4320"/>
          </w:tcPr>
          <w:p>
            <w:r>
              <w:t>Pay-If-Paid (PIP)</w:t>
            </w:r>
          </w:p>
        </w:tc>
        <w:tc>
          <w:tcPr>
            <w:tcW w:type="dxa" w:w="4320"/>
          </w:tcPr>
          <w:p>
            <w:r>
              <w:t>Owner non-paymentshiftsthe risk of owner credit to Sub; if Owner never pays, Sub is never paid.</w:t>
            </w:r>
          </w:p>
        </w:tc>
      </w:tr>
    </w:tbl>
    <w:p>
      <w:r>
        <w:t>State enforceability varies. PIP is unenforceable in CA, NC, NY (effectively), DE, IL (limited), and several other states. PWP is generally enforceable everywhere. Where PIP is enforceable, surety bonding rates increase materially on the Sub's program.</w:t>
      </w:r>
    </w:p>
    <w:tbl>
      <w:tblPr>
        <w:tblStyle w:val="LightGrid-Accent1"/>
        <w:tblW w:type="auto" w:w="0"/>
        <w:tblLook w:firstColumn="1" w:firstRow="1" w:lastColumn="0" w:lastRow="0" w:noHBand="0" w:noVBand="1" w:val="04A0"/>
      </w:tblPr>
      <w:tblGrid>
        <w:gridCol w:w="4320"/>
        <w:gridCol w:w="4320"/>
      </w:tblGrid>
      <w:tr>
        <w:tc>
          <w:tcPr>
            <w:tcW w:type="dxa" w:w="4320"/>
          </w:tcPr>
          <w:p>
            <w:r>
              <w:t>Retainage Rate:</w:t>
            </w:r>
          </w:p>
        </w:tc>
        <w:tc>
          <w:tcPr>
            <w:tcW w:type="dxa" w:w="4320"/>
          </w:tcPr>
          <w:p>
            <w:r>
              <w:t>[%]— typical 5-10%; some states cap at 5% on public</w:t>
            </w:r>
          </w:p>
        </w:tc>
      </w:tr>
      <w:tr>
        <w:tc>
          <w:tcPr>
            <w:tcW w:type="dxa" w:w="4320"/>
          </w:tcPr>
          <w:p>
            <w:r>
              <w:t>Retainage Release Trigger:</w:t>
            </w:r>
          </w:p>
        </w:tc>
        <w:tc>
          <w:tcPr>
            <w:tcW w:type="dxa" w:w="4320"/>
          </w:tcPr>
          <w:p>
            <w:r>
              <w:t>☐ Substantial Completion   ☐ Final Acceptance   ☐[Other]</w:t>
            </w:r>
          </w:p>
        </w:tc>
      </w:tr>
      <w:tr>
        <w:tc>
          <w:tcPr>
            <w:tcW w:type="dxa" w:w="4320"/>
          </w:tcPr>
          <w:p>
            <w:r>
              <w:t>Retainage Reduction at 50% (industry-standard provision)?</w:t>
            </w:r>
          </w:p>
        </w:tc>
        <w:tc>
          <w:tcPr>
            <w:tcW w:type="dxa" w:w="4320"/>
          </w:tcPr>
          <w:p>
            <w:r>
              <w:t>☐ Yes   ☐ No — redline</w:t>
            </w:r>
          </w:p>
        </w:tc>
      </w:tr>
      <w:tr>
        <w:tc>
          <w:tcPr>
            <w:tcW w:type="dxa" w:w="4320"/>
          </w:tcPr>
          <w:p>
            <w:r>
              <w:t>Retainage held on Stored Materials?</w:t>
            </w:r>
          </w:p>
        </w:tc>
        <w:tc>
          <w:tcPr>
            <w:tcW w:type="dxa" w:w="4320"/>
          </w:tcPr>
          <w:p>
            <w:r>
              <w:t>☐ Yes — redline if so   ☐ No</w:t>
            </w:r>
          </w:p>
        </w:tc>
      </w:tr>
    </w:tbl>
    <w:tbl>
      <w:tblPr>
        <w:tblStyle w:val="LightGrid-Accent1"/>
        <w:tblW w:type="auto" w:w="0"/>
        <w:tblLook w:firstColumn="1" w:firstRow="1" w:lastColumn="0" w:lastRow="0" w:noHBand="0" w:noVBand="1" w:val="04A0"/>
      </w:tblPr>
      <w:tblGrid>
        <w:gridCol w:w="4320"/>
        <w:gridCol w:w="4320"/>
      </w:tblGrid>
      <w:tr>
        <w:tc>
          <w:tcPr>
            <w:tcW w:type="dxa" w:w="4320"/>
          </w:tcPr>
          <w:p>
            <w:r>
              <w:t>Pay app submission deadline (day of month):</w:t>
            </w:r>
          </w:p>
        </w:tc>
        <w:tc>
          <w:tcPr>
            <w:tcW w:type="dxa" w:w="4320"/>
          </w:tcPr>
          <w:p>
            <w:r>
              <w:t>[Day]</w:t>
            </w:r>
          </w:p>
        </w:tc>
      </w:tr>
      <w:tr>
        <w:tc>
          <w:tcPr>
            <w:tcW w:type="dxa" w:w="4320"/>
          </w:tcPr>
          <w:p>
            <w:r>
              <w:t>Pay app payment due (after GC receipt):</w:t>
            </w:r>
          </w:p>
        </w:tc>
        <w:tc>
          <w:tcPr>
            <w:tcW w:type="dxa" w:w="4320"/>
          </w:tcPr>
          <w:p>
            <w:r>
              <w:t>[Days]</w:t>
            </w:r>
          </w:p>
        </w:tc>
      </w:tr>
      <w:tr>
        <w:tc>
          <w:tcPr>
            <w:tcW w:type="dxa" w:w="4320"/>
          </w:tcPr>
          <w:p>
            <w:r>
              <w:t>Statutory prompt-pay interest preserved?</w:t>
            </w:r>
          </w:p>
        </w:tc>
        <w:tc>
          <w:tcPr>
            <w:tcW w:type="dxa" w:w="4320"/>
          </w:tcPr>
          <w:p>
            <w:r>
              <w:t>☐ Yes   ☐ No — verify state law</w:t>
            </w:r>
          </w:p>
        </w:tc>
      </w:tr>
      <w:tr>
        <w:tc>
          <w:tcPr>
            <w:tcW w:type="dxa" w:w="4320"/>
          </w:tcPr>
          <w:p>
            <w:r>
              <w:t>Lien rights waived in advance?</w:t>
            </w:r>
          </w:p>
        </w:tc>
        <w:tc>
          <w:tcPr>
            <w:tcW w:type="dxa" w:w="4320"/>
          </w:tcPr>
          <w:p>
            <w:r>
              <w:t>☐ No — required answer; redline if yes</w:t>
            </w:r>
          </w:p>
        </w:tc>
      </w:tr>
      <w:tr>
        <w:tc>
          <w:tcPr>
            <w:tcW w:type="dxa" w:w="4320"/>
          </w:tcPr>
          <w:p>
            <w:r>
              <w:t>"Joint check" rights with Sub's lower-tier or suppliers?</w:t>
            </w:r>
          </w:p>
        </w:tc>
        <w:tc>
          <w:tcPr>
            <w:tcW w:type="dxa" w:w="4320"/>
          </w:tcPr>
          <w:p>
            <w:r>
              <w:t>☐ Yes   ☐ No — see Joint Check Agreement</w:t>
            </w:r>
          </w:p>
        </w:tc>
      </w:tr>
    </w:tbl>
    <w:p>
      <w:r>
        <w:t>Changes clauses define how Sub gets paid for added work, how Sub objects to deductive changes, and how Sub preserves claims for unwritten changes (constructive change orders).</w:t>
      </w:r>
    </w:p>
    <w:p>
      <w:r>
        <w:t>Insurance clauses dictate (a) limits, (b) coverage types, (c) additional-insured status, (d) waivers of subrogation, and (e) the form of certificate. The risk is in mismatched coverage forms — the Sub buys CG 20 26 (an older form) while the Subcontract requires CG 20 10 + CG 20 37, and the policy fails to respond on a claim.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Coverage</w:t>
            </w:r>
          </w:p>
        </w:tc>
        <w:tc>
          <w:tcPr>
            <w:tcW w:type="dxa" w:w="2160"/>
          </w:tcPr>
          <w:p>
            <w:r>
              <w:t>Subcontract Requires</w:t>
            </w:r>
          </w:p>
        </w:tc>
        <w:tc>
          <w:tcPr>
            <w:tcW w:type="dxa" w:w="2160"/>
          </w:tcPr>
          <w:p>
            <w:r>
              <w:t>Sub Carries</w:t>
            </w:r>
          </w:p>
        </w:tc>
        <w:tc>
          <w:tcPr>
            <w:tcW w:type="dxa" w:w="2160"/>
          </w:tcPr>
          <w:p>
            <w:r>
              <w:t>Match?</w:t>
            </w:r>
          </w:p>
        </w:tc>
      </w:tr>
      <w:tr>
        <w:tc>
          <w:tcPr>
            <w:tcW w:type="dxa" w:w="2160"/>
          </w:tcPr>
          <w:p>
            <w:r>
              <w:t>CGL — Per Occ.</w:t>
            </w:r>
          </w:p>
        </w:tc>
        <w:tc>
          <w:tcPr>
            <w:tcW w:type="dxa" w:w="2160"/>
          </w:tcPr>
          <w:p>
            <w:r>
              <w:t>$[1M / 2M]</w:t>
            </w:r>
          </w:p>
        </w:tc>
        <w:tc>
          <w:tcPr>
            <w:tcW w:type="dxa" w:w="2160"/>
          </w:tcPr>
          <w:p>
            <w:r>
              <w:t>$[Amt]</w:t>
            </w:r>
          </w:p>
        </w:tc>
        <w:tc>
          <w:tcPr>
            <w:tcW w:type="dxa" w:w="2160"/>
          </w:tcPr>
          <w:p>
            <w:r>
              <w:t>☐</w:t>
            </w:r>
          </w:p>
        </w:tc>
      </w:tr>
      <w:tr>
        <w:tc>
          <w:tcPr>
            <w:tcW w:type="dxa" w:w="2160"/>
          </w:tcPr>
          <w:p>
            <w:r>
              <w:t>CGL — Aggregate</w:t>
            </w:r>
          </w:p>
        </w:tc>
        <w:tc>
          <w:tcPr>
            <w:tcW w:type="dxa" w:w="2160"/>
          </w:tcPr>
          <w:p>
            <w:r>
              <w:t>$[2M / 4M]</w:t>
            </w:r>
          </w:p>
        </w:tc>
        <w:tc>
          <w:tcPr>
            <w:tcW w:type="dxa" w:w="2160"/>
          </w:tcPr>
          <w:p>
            <w:r>
              <w:t>$[Amt]</w:t>
            </w:r>
          </w:p>
        </w:tc>
        <w:tc>
          <w:tcPr>
            <w:tcW w:type="dxa" w:w="2160"/>
          </w:tcPr>
          <w:p>
            <w:r>
              <w:t>☐</w:t>
            </w:r>
          </w:p>
        </w:tc>
      </w:tr>
      <w:tr>
        <w:tc>
          <w:tcPr>
            <w:tcW w:type="dxa" w:w="2160"/>
          </w:tcPr>
          <w:p>
            <w:r>
              <w:t>Excess / Umbrella</w:t>
            </w:r>
          </w:p>
        </w:tc>
        <w:tc>
          <w:tcPr>
            <w:tcW w:type="dxa" w:w="2160"/>
          </w:tcPr>
          <w:p>
            <w:r>
              <w:t>$[5M+]</w:t>
            </w:r>
          </w:p>
        </w:tc>
        <w:tc>
          <w:tcPr>
            <w:tcW w:type="dxa" w:w="2160"/>
          </w:tcPr>
          <w:p>
            <w:r>
              <w:t>$[Amt]</w:t>
            </w:r>
          </w:p>
        </w:tc>
        <w:tc>
          <w:tcPr>
            <w:tcW w:type="dxa" w:w="2160"/>
          </w:tcPr>
          <w:p>
            <w:r>
              <w:t>☐</w:t>
            </w:r>
          </w:p>
        </w:tc>
      </w:tr>
      <w:tr>
        <w:tc>
          <w:tcPr>
            <w:tcW w:type="dxa" w:w="2160"/>
          </w:tcPr>
          <w:p>
            <w:r>
              <w:t>Auto</w:t>
            </w:r>
          </w:p>
        </w:tc>
        <w:tc>
          <w:tcPr>
            <w:tcW w:type="dxa" w:w="2160"/>
          </w:tcPr>
          <w:p>
            <w:r>
              <w:t>$[1M]</w:t>
            </w:r>
          </w:p>
        </w:tc>
        <w:tc>
          <w:tcPr>
            <w:tcW w:type="dxa" w:w="2160"/>
          </w:tcPr>
          <w:p>
            <w:r>
              <w:t>$[Amt]</w:t>
            </w:r>
          </w:p>
        </w:tc>
        <w:tc>
          <w:tcPr>
            <w:tcW w:type="dxa" w:w="2160"/>
          </w:tcPr>
          <w:p>
            <w:r>
              <w:t>☐</w:t>
            </w:r>
          </w:p>
        </w:tc>
      </w:tr>
      <w:tr>
        <w:tc>
          <w:tcPr>
            <w:tcW w:type="dxa" w:w="2160"/>
          </w:tcPr>
          <w:p>
            <w:r>
              <w:t>Worker's Comp</w:t>
            </w:r>
          </w:p>
        </w:tc>
        <w:tc>
          <w:tcPr>
            <w:tcW w:type="dxa" w:w="2160"/>
          </w:tcPr>
          <w:p>
            <w:r>
              <w:t>Statutory</w:t>
            </w:r>
          </w:p>
        </w:tc>
        <w:tc>
          <w:tcPr>
            <w:tcW w:type="dxa" w:w="2160"/>
          </w:tcPr>
          <w:p>
            <w:r>
              <w:t>Statutory</w:t>
            </w:r>
          </w:p>
        </w:tc>
        <w:tc>
          <w:tcPr>
            <w:tcW w:type="dxa" w:w="2160"/>
          </w:tcPr>
          <w:p>
            <w:r>
              <w:t>☐</w:t>
            </w:r>
          </w:p>
        </w:tc>
      </w:tr>
      <w:tr>
        <w:tc>
          <w:tcPr>
            <w:tcW w:type="dxa" w:w="2160"/>
          </w:tcPr>
          <w:p>
            <w:r>
              <w:t>Employer's Liability</w:t>
            </w:r>
          </w:p>
        </w:tc>
        <w:tc>
          <w:tcPr>
            <w:tcW w:type="dxa" w:w="2160"/>
          </w:tcPr>
          <w:p>
            <w:r>
              <w:t>$[1M/1M/1M]</w:t>
            </w:r>
          </w:p>
        </w:tc>
        <w:tc>
          <w:tcPr>
            <w:tcW w:type="dxa" w:w="2160"/>
          </w:tcPr>
          <w:p>
            <w:r>
              <w:t>$[Amt]</w:t>
            </w:r>
          </w:p>
        </w:tc>
        <w:tc>
          <w:tcPr>
            <w:tcW w:type="dxa" w:w="2160"/>
          </w:tcPr>
          <w:p>
            <w:r>
              <w:t>☐</w:t>
            </w:r>
          </w:p>
        </w:tc>
      </w:tr>
      <w:tr>
        <w:tc>
          <w:tcPr>
            <w:tcW w:type="dxa" w:w="2160"/>
          </w:tcPr>
          <w:p>
            <w:r>
              <w:t>Pollution (if applicable)</w:t>
            </w:r>
          </w:p>
        </w:tc>
        <w:tc>
          <w:tcPr>
            <w:tcW w:type="dxa" w:w="2160"/>
          </w:tcPr>
          <w:p>
            <w:r>
              <w:t>$[Amt]</w:t>
            </w:r>
          </w:p>
        </w:tc>
        <w:tc>
          <w:tcPr>
            <w:tcW w:type="dxa" w:w="2160"/>
          </w:tcPr>
          <w:p>
            <w:r>
              <w:t>$[Amt]</w:t>
            </w:r>
          </w:p>
        </w:tc>
        <w:tc>
          <w:tcPr>
            <w:tcW w:type="dxa" w:w="2160"/>
          </w:tcPr>
          <w:p>
            <w:r>
              <w:t>☐</w:t>
            </w:r>
          </w:p>
        </w:tc>
      </w:tr>
      <w:tr>
        <w:tc>
          <w:tcPr>
            <w:tcW w:type="dxa" w:w="2160"/>
          </w:tcPr>
          <w:p>
            <w:r>
              <w:t>Professional (if design-build)</w:t>
            </w:r>
          </w:p>
        </w:tc>
        <w:tc>
          <w:tcPr>
            <w:tcW w:type="dxa" w:w="2160"/>
          </w:tcPr>
          <w:p>
            <w:r>
              <w:t>$[Amt]</w:t>
            </w:r>
          </w:p>
        </w:tc>
        <w:tc>
          <w:tcPr>
            <w:tcW w:type="dxa" w:w="2160"/>
          </w:tcPr>
          <w:p>
            <w:r>
              <w:t>$[Amt]</w:t>
            </w:r>
          </w:p>
        </w:tc>
        <w:tc>
          <w:tcPr>
            <w:tcW w:type="dxa" w:w="2160"/>
          </w:tcPr>
          <w:p>
            <w:r>
              <w:t>☐</w:t>
            </w:r>
          </w:p>
        </w:tc>
      </w:tr>
    </w:tbl>
    <w:p>
      <w:r>
        <w:t>Mutual waiver of subrogation among Owner, GC, and Sub for losses covered by Builder's Risk insurance is industry-standard and acceptable. One-way waiver (Sub waives but GC and Owner retain) is not — redline.</w:t>
      </w:r>
    </w:p>
    <w:tbl>
      <w:tblPr>
        <w:tblStyle w:val="LightGrid-Accent1"/>
        <w:tblW w:type="auto" w:w="0"/>
        <w:tblLook w:firstColumn="1" w:firstRow="1" w:lastColumn="0" w:lastRow="0" w:noHBand="0" w:noVBand="1" w:val="04A0"/>
      </w:tblPr>
      <w:tblGrid>
        <w:gridCol w:w="4320"/>
        <w:gridCol w:w="4320"/>
      </w:tblGrid>
      <w:tr>
        <w:tc>
          <w:tcPr>
            <w:tcW w:type="dxa" w:w="4320"/>
          </w:tcPr>
          <w:p>
            <w:r>
              <w:t>Performance Bond required?</w:t>
            </w:r>
          </w:p>
        </w:tc>
        <w:tc>
          <w:tcPr>
            <w:tcW w:type="dxa" w:w="4320"/>
          </w:tcPr>
          <w:p>
            <w:r>
              <w:t>☐ Yes —[100%]of Subcontract Sum   ☐ No</w:t>
            </w:r>
          </w:p>
        </w:tc>
      </w:tr>
      <w:tr>
        <w:tc>
          <w:tcPr>
            <w:tcW w:type="dxa" w:w="4320"/>
          </w:tcPr>
          <w:p>
            <w:r>
              <w:t>Payment Bond required?</w:t>
            </w:r>
          </w:p>
        </w:tc>
        <w:tc>
          <w:tcPr>
            <w:tcW w:type="dxa" w:w="4320"/>
          </w:tcPr>
          <w:p>
            <w:r>
              <w:t>☐ Yes —[100%]of Subcontract Sum   ☐ No</w:t>
            </w:r>
          </w:p>
        </w:tc>
      </w:tr>
      <w:tr>
        <w:tc>
          <w:tcPr>
            <w:tcW w:type="dxa" w:w="4320"/>
          </w:tcPr>
          <w:p>
            <w:r>
              <w:t>SDI (Subcontractor Default Insurance) in lieu of bonds?</w:t>
            </w:r>
          </w:p>
        </w:tc>
        <w:tc>
          <w:tcPr>
            <w:tcW w:type="dxa" w:w="4320"/>
          </w:tcPr>
          <w:p>
            <w:r>
              <w:t>☐ Yes   ☐ No</w:t>
            </w:r>
          </w:p>
        </w:tc>
      </w:tr>
      <w:tr>
        <w:tc>
          <w:tcPr>
            <w:tcW w:type="dxa" w:w="4320"/>
          </w:tcPr>
          <w:p>
            <w:r>
              <w:t>Bond Cost separate line item in Subcontract Sum?</w:t>
            </w:r>
          </w:p>
        </w:tc>
        <w:tc>
          <w:tcPr>
            <w:tcW w:type="dxa" w:w="4320"/>
          </w:tcPr>
          <w:p>
            <w:r>
              <w:t>☐ Yes   ☐ No — redline</w:t>
            </w:r>
          </w:p>
        </w:tc>
      </w:tr>
      <w:tr>
        <w:tc>
          <w:tcPr>
            <w:tcW w:type="dxa" w:w="4320"/>
          </w:tcPr>
          <w:p>
            <w:r>
              <w:t>Bond Form (AIA A312 vs. obligee-specific)?</w:t>
            </w:r>
          </w:p>
        </w:tc>
        <w:tc>
          <w:tcPr>
            <w:tcW w:type="dxa" w:w="4320"/>
          </w:tcPr>
          <w:p>
            <w:r>
              <w:t>[Form]</w:t>
            </w:r>
          </w:p>
        </w:tc>
      </w:tr>
      <w:tr>
        <w:tc>
          <w:tcPr>
            <w:tcW w:type="dxa" w:w="4320"/>
          </w:tcPr>
          <w:p>
            <w:r>
              <w:t>Bonding capacity confirmed with surety before signing?</w:t>
            </w:r>
          </w:p>
        </w:tc>
        <w:tc>
          <w:tcPr>
            <w:tcW w:type="dxa" w:w="4320"/>
          </w:tcPr>
          <w:p>
            <w:r>
              <w:t>☐ Yes   ☐ No — confirm</w:t>
            </w:r>
          </w:p>
        </w:tc>
      </w:tr>
    </w:tbl>
    <w:p>
      <w:r>
        <w:t>Indemnification — the Sub's promise to defend and reimburse the GC and Owner for liability — is the second-most consequential clause after payment. The three forms:</w:t>
      </w:r>
    </w:p>
    <w:tbl>
      <w:tblPr>
        <w:tblStyle w:val="LightGrid-Accent1"/>
        <w:tblW w:type="auto" w:w="0"/>
        <w:tblLook w:firstColumn="1" w:firstRow="1" w:lastColumn="0" w:lastRow="0" w:noHBand="0" w:noVBand="1" w:val="04A0"/>
      </w:tblPr>
      <w:tblGrid>
        <w:gridCol w:w="4320"/>
        <w:gridCol w:w="4320"/>
      </w:tblGrid>
      <w:tr>
        <w:tc>
          <w:tcPr>
            <w:tcW w:type="dxa" w:w="4320"/>
          </w:tcPr>
          <w:p>
            <w:r>
              <w:t>Form</w:t>
            </w:r>
          </w:p>
        </w:tc>
        <w:tc>
          <w:tcPr>
            <w:tcW w:type="dxa" w:w="4320"/>
          </w:tcPr>
          <w:p>
            <w:r>
              <w:t>Sub's Exposure</w:t>
            </w:r>
          </w:p>
        </w:tc>
      </w:tr>
      <w:tr>
        <w:tc>
          <w:tcPr>
            <w:tcW w:type="dxa" w:w="4320"/>
          </w:tcPr>
          <w:p>
            <w:r>
              <w:t>Limited (Comparative)</w:t>
            </w:r>
          </w:p>
        </w:tc>
        <w:tc>
          <w:tcPr>
            <w:tcW w:type="dxa" w:w="4320"/>
          </w:tcPr>
          <w:p>
            <w:r>
              <w:t>Sub indemnifiesonly to the extent ofSub's own negligence. Industry-standard, generally enforceable.</w:t>
            </w:r>
          </w:p>
        </w:tc>
      </w:tr>
      <w:tr>
        <w:tc>
          <w:tcPr>
            <w:tcW w:type="dxa" w:w="4320"/>
          </w:tcPr>
          <w:p>
            <w:r>
              <w:t>Intermediate</w:t>
            </w:r>
          </w:p>
        </w:tc>
        <w:tc>
          <w:tcPr>
            <w:tcW w:type="dxa" w:w="4320"/>
          </w:tcPr>
          <w:p>
            <w:r>
              <w:t>Sub indemnifies for any lossexceptthe GC's sole negligence. Enforceable in many states; voided by anti-indemnity statute in others.</w:t>
            </w:r>
          </w:p>
        </w:tc>
      </w:tr>
      <w:tr>
        <w:tc>
          <w:tcPr>
            <w:tcW w:type="dxa" w:w="4320"/>
          </w:tcPr>
          <w:p>
            <w:r>
              <w:t>Broad-Form</w:t>
            </w:r>
          </w:p>
        </w:tc>
        <w:tc>
          <w:tcPr>
            <w:tcW w:type="dxa" w:w="4320"/>
          </w:tcPr>
          <w:p>
            <w:r>
              <w:t>Sub indemnifies for the GC'sownnegligence. Voided by anti-indemnity statute in roughly 40 states.</w:t>
            </w:r>
          </w:p>
        </w:tc>
      </w:tr>
    </w:tbl>
    <w:p>
      <w:r>
        <w:t>Lien waiver clauses require Sub to execute partial and final lien waivers as a condition of payment. Risk: (a) waiving lien rights for amounts not yet paid (front-loaded waiver) and (b) waiving claims, not just liens.</w:t>
      </w:r>
    </w:p>
    <w:tbl>
      <w:tblPr>
        <w:tblStyle w:val="LightGrid-Accent1"/>
        <w:tblW w:type="auto" w:w="0"/>
        <w:tblLook w:firstColumn="1" w:firstRow="1" w:lastColumn="0" w:lastRow="0" w:noHBand="0" w:noVBand="1" w:val="04A0"/>
      </w:tblPr>
      <w:tblGrid>
        <w:gridCol w:w="4320"/>
        <w:gridCol w:w="4320"/>
      </w:tblGrid>
      <w:tr>
        <w:tc>
          <w:tcPr>
            <w:tcW w:type="dxa" w:w="4320"/>
          </w:tcPr>
          <w:p>
            <w:r>
              <w:t>Partial waiver form (statutory or AIA)?</w:t>
            </w:r>
          </w:p>
        </w:tc>
        <w:tc>
          <w:tcPr>
            <w:tcW w:type="dxa" w:w="4320"/>
          </w:tcPr>
          <w:p>
            <w:r>
              <w:t>[Form]</w:t>
            </w:r>
          </w:p>
        </w:tc>
      </w:tr>
      <w:tr>
        <w:tc>
          <w:tcPr>
            <w:tcW w:type="dxa" w:w="4320"/>
          </w:tcPr>
          <w:p>
            <w:r>
              <w:t>Conditional on "amounts received"?</w:t>
            </w:r>
          </w:p>
        </w:tc>
        <w:tc>
          <w:tcPr>
            <w:tcW w:type="dxa" w:w="4320"/>
          </w:tcPr>
          <w:p>
            <w:r>
              <w:t>☐ Yes   ☐ No — redline</w:t>
            </w:r>
          </w:p>
        </w:tc>
      </w:tr>
      <w:tr>
        <w:tc>
          <w:tcPr>
            <w:tcW w:type="dxa" w:w="4320"/>
          </w:tcPr>
          <w:p>
            <w:r>
              <w:t>Final waiver waivesclaimsin addition to liens?</w:t>
            </w:r>
          </w:p>
        </w:tc>
        <w:tc>
          <w:tcPr>
            <w:tcW w:type="dxa" w:w="4320"/>
          </w:tcPr>
          <w:p>
            <w:r>
              <w:t>☐ No — preferred   ☐ Yes — redline to limit to liens</w:t>
            </w:r>
          </w:p>
        </w:tc>
      </w:tr>
    </w:tbl>
    <w:tbl>
      <w:tblPr>
        <w:tblStyle w:val="LightGrid-Accent1"/>
        <w:tblW w:type="auto" w:w="0"/>
        <w:tblLook w:firstColumn="1" w:firstRow="1" w:lastColumn="0" w:lastRow="0" w:noHBand="0" w:noVBand="1" w:val="04A0"/>
      </w:tblPr>
      <w:tblGrid>
        <w:gridCol w:w="4320"/>
        <w:gridCol w:w="4320"/>
      </w:tblGrid>
      <w:tr>
        <w:tc>
          <w:tcPr>
            <w:tcW w:type="dxa" w:w="4320"/>
          </w:tcPr>
          <w:p>
            <w:r>
              <w:t>Warranty Period:</w:t>
            </w:r>
          </w:p>
        </w:tc>
        <w:tc>
          <w:tcPr>
            <w:tcW w:type="dxa" w:w="4320"/>
          </w:tcPr>
          <w:p>
            <w:r>
              <w:t>[1 year — standard]from Substantial Completion</w:t>
            </w:r>
          </w:p>
        </w:tc>
      </w:tr>
      <w:tr>
        <w:tc>
          <w:tcPr>
            <w:tcW w:type="dxa" w:w="4320"/>
          </w:tcPr>
          <w:p>
            <w:r>
              <w:t>Extended Warranty for specific components (roofing, mechanical)?</w:t>
            </w:r>
          </w:p>
        </w:tc>
        <w:tc>
          <w:tcPr>
            <w:tcW w:type="dxa" w:w="4320"/>
          </w:tcPr>
          <w:p>
            <w:r>
              <w:t>[#]years</w:t>
            </w:r>
          </w:p>
        </w:tc>
      </w:tr>
      <w:tr>
        <w:tc>
          <w:tcPr>
            <w:tcW w:type="dxa" w:w="4320"/>
          </w:tcPr>
          <w:p>
            <w:r>
              <w:t>Statute of Repose (state-specific cap on long-tail claims)?</w:t>
            </w:r>
          </w:p>
        </w:tc>
        <w:tc>
          <w:tcPr>
            <w:tcW w:type="dxa" w:w="4320"/>
          </w:tcPr>
          <w:p>
            <w:r>
              <w:t>[Years]</w:t>
            </w:r>
          </w:p>
        </w:tc>
      </w:tr>
    </w:tbl>
    <w:p>
      <w:r>
        <w:t>Standard safety obligations are non-negotiable: OSHA compliance, drug-free workplace, site-specific safety plan, attendance at GC's safety meetings, accident reporting. Risk is in over-broad cost-shifting:</w:t>
      </w:r>
    </w:p>
    <w:tbl>
      <w:tblPr>
        <w:tblStyle w:val="LightGrid-Accent1"/>
        <w:tblW w:type="auto" w:w="0"/>
        <w:tblLook w:firstColumn="1" w:firstRow="1" w:lastColumn="0" w:lastRow="0" w:noHBand="0" w:noVBand="1" w:val="04A0"/>
      </w:tblPr>
      <w:tblGrid>
        <w:gridCol w:w="4320"/>
        <w:gridCol w:w="4320"/>
      </w:tblGrid>
      <w:tr>
        <w:tc>
          <w:tcPr>
            <w:tcW w:type="dxa" w:w="4320"/>
          </w:tcPr>
          <w:p>
            <w:r>
              <w:t>Forum:</w:t>
            </w:r>
          </w:p>
        </w:tc>
        <w:tc>
          <w:tcPr>
            <w:tcW w:type="dxa" w:w="4320"/>
          </w:tcPr>
          <w:p>
            <w:r>
              <w:t>☐ AAA Arbitration   ☐ Litigation in[State courts]☐ Federal court   ☐ ICC / JAMS</w:t>
            </w:r>
          </w:p>
        </w:tc>
      </w:tr>
      <w:tr>
        <w:tc>
          <w:tcPr>
            <w:tcW w:type="dxa" w:w="4320"/>
          </w:tcPr>
          <w:p>
            <w:r>
              <w:t>Venue:</w:t>
            </w:r>
          </w:p>
        </w:tc>
        <w:tc>
          <w:tcPr>
            <w:tcW w:type="dxa" w:w="4320"/>
          </w:tcPr>
          <w:p>
            <w:r>
              <w:t>[County / State]— verify reasonable for Sub</w:t>
            </w:r>
          </w:p>
        </w:tc>
      </w:tr>
      <w:tr>
        <w:tc>
          <w:tcPr>
            <w:tcW w:type="dxa" w:w="4320"/>
          </w:tcPr>
          <w:p>
            <w:r>
              <w:t>Choice of Law:</w:t>
            </w:r>
          </w:p>
        </w:tc>
        <w:tc>
          <w:tcPr>
            <w:tcW w:type="dxa" w:w="4320"/>
          </w:tcPr>
          <w:p>
            <w:r>
              <w:t>[State]— typically state where Project is located</w:t>
            </w:r>
          </w:p>
        </w:tc>
      </w:tr>
      <w:tr>
        <w:tc>
          <w:tcPr>
            <w:tcW w:type="dxa" w:w="4320"/>
          </w:tcPr>
          <w:p>
            <w:r>
              <w:t>Mediation Prerequisite:</w:t>
            </w:r>
          </w:p>
        </w:tc>
        <w:tc>
          <w:tcPr>
            <w:tcW w:type="dxa" w:w="4320"/>
          </w:tcPr>
          <w:p>
            <w:r>
              <w:t>☐ Yes   ☐ No</w:t>
            </w:r>
          </w:p>
        </w:tc>
      </w:tr>
      <w:tr>
        <w:tc>
          <w:tcPr>
            <w:tcW w:type="dxa" w:w="4320"/>
          </w:tcPr>
          <w:p>
            <w:r>
              <w:t>Joinder rights with Owner / other Subs?</w:t>
            </w:r>
          </w:p>
        </w:tc>
        <w:tc>
          <w:tcPr>
            <w:tcW w:type="dxa" w:w="4320"/>
          </w:tcPr>
          <w:p>
            <w:r>
              <w:t>☐ Yes   ☐ No — preferred yes</w:t>
            </w:r>
          </w:p>
        </w:tc>
      </w:tr>
      <w:tr>
        <w:tc>
          <w:tcPr>
            <w:tcW w:type="dxa" w:w="4320"/>
          </w:tcPr>
          <w:p>
            <w:r>
              <w:t>Attorney's fees to prevailing party?</w:t>
            </w:r>
          </w:p>
        </w:tc>
        <w:tc>
          <w:tcPr>
            <w:tcW w:type="dxa" w:w="4320"/>
          </w:tcPr>
          <w:p>
            <w:r>
              <w:t>☐ Yes (mutual)   ☐ One-way to GC only — redline</w:t>
            </w:r>
          </w:p>
        </w:tc>
      </w:tr>
      <w:tr>
        <w:tc>
          <w:tcPr>
            <w:tcW w:type="dxa" w:w="4320"/>
          </w:tcPr>
          <w:p>
            <w:r>
              <w:t>Jury trial waiver?</w:t>
            </w:r>
          </w:p>
        </w:tc>
        <w:tc>
          <w:tcPr>
            <w:tcW w:type="dxa" w:w="4320"/>
          </w:tcPr>
          <w:p>
            <w:r>
              <w:t>☐ Yes   ☐ No</w:t>
            </w:r>
          </w:p>
        </w:tc>
      </w:tr>
    </w:tbl>
    <w:p>
      <w:r>
        <w:t>The "boilerplate" article that frequently contains traps:</w:t>
      </w:r>
    </w:p>
    <w:p>
      <w:pPr>
        <w:pStyle w:val="ListNumber"/>
      </w:pPr>
      <w:r>
        <w:rPr>
          <w:b/>
        </w:rPr>
        <w:t>Assignment.</w:t>
      </w:r>
      <w:r>
        <w:t xml:space="preserve"> One-way assignment (GC can assign; Sub cannot) is industry-standard. Mutual is rare. Check that Sub's assignment to lender (for AR financing) is permitted.</w:t>
      </w:r>
    </w:p>
    <w:p>
      <w:pPr>
        <w:pStyle w:val="ListNumber"/>
      </w:pPr>
      <w:r>
        <w:rPr>
          <w:b/>
        </w:rPr>
        <w:t>Set-off.</w:t>
      </w:r>
      <w:r>
        <w:t xml:space="preserve"> GC's right to set off against Sub's pay app for amounts allegedly owed on </w:t>
      </w:r>
      <w:r>
        <w:rPr>
          <w:i/>
        </w:rPr>
        <w:t>this</w:t>
      </w:r>
      <w:r>
        <w:t xml:space="preserve"> Project — acceptable. Set-off across </w:t>
      </w:r>
      <w:r>
        <w:rPr>
          <w:i/>
        </w:rPr>
        <w:t>other</w:t>
      </w:r>
      <w:r>
        <w:t xml:space="preserve"> Projects between the same parties — redline (each project should stand alone).</w:t>
      </w:r>
    </w:p>
    <w:p>
      <w:pPr>
        <w:pStyle w:val="ListNumber"/>
      </w:pPr>
      <w:r>
        <w:rPr>
          <w:b/>
        </w:rPr>
        <w:t>Audit.</w:t>
      </w:r>
      <w:r>
        <w:t xml:space="preserve"> GC right to audit Sub's books on T&amp;M work — acceptable. GC right to audit on lump-sum work — redline (no basis for it).</w:t>
      </w:r>
    </w:p>
    <w:p>
      <w:pPr>
        <w:pStyle w:val="ListNumber"/>
      </w:pPr>
      <w:r>
        <w:rPr>
          <w:b/>
        </w:rPr>
        <w:t>Confidentiality.</w:t>
      </w:r>
      <w:r>
        <w:t xml:space="preserve"> Reciprocal confidentiality of pricing and project information — acceptable. One-way binding only Sub — redline.</w:t>
      </w:r>
    </w:p>
    <w:p>
      <w:pPr>
        <w:pStyle w:val="ListNumber"/>
      </w:pPr>
      <w:r>
        <w:rPr>
          <w:b/>
        </w:rPr>
        <w:t>Entire Agreement / Integration.</w:t>
      </w:r>
      <w:r>
        <w:t xml:space="preserve"> Confirms only the signed Subcontract + Exhibits is binding. Verify that all bid Exceptions/Clarifications are pulled forward into Exhibits.</w:t>
      </w:r>
    </w:p>
    <w:p>
      <w:pPr>
        <w:pStyle w:val="ListNumber"/>
      </w:pPr>
      <w:r>
        <w:rPr>
          <w:b/>
        </w:rPr>
        <w:t>Modifications.</w:t>
      </w:r>
      <w:r>
        <w:t xml:space="preserve"> Modifications only in writing signed by both parties. Acceptable and protective for Sub.</w:t>
      </w:r>
    </w:p>
    <w:p>
      <w:pPr>
        <w:pStyle w:val="ListNumber"/>
      </w:pPr>
      <w:r>
        <w:rPr>
          <w:b/>
        </w:rPr>
        <w:t>Survival.</w:t>
      </w:r>
      <w:r>
        <w:t xml:space="preserve"> Confirm indemnity, warranties, lien waiver, and confidentiality survive termination — acceptable.</w:t>
      </w:r>
    </w:p>
    <w:p>
      <w:pPr>
        <w:pStyle w:val="ListNumber"/>
      </w:pPr>
      <w:r>
        <w:rPr>
          <w:b/>
        </w:rPr>
        <w:t>Force Majeure.</w:t>
      </w:r>
      <w:r>
        <w:t xml:space="preserve"> Mutual; verify pandemic / labor strikes / supply chain disruption are listed. Strike "regardless of foreseeability" if present.</w:t>
      </w:r>
    </w:p>
    <w:p>
      <w:pPr>
        <w:pStyle w:val="ListNumber"/>
      </w:pPr>
      <w:r>
        <w:rPr>
          <w:b/>
        </w:rPr>
        <w:t>Waiver.</w:t>
      </w:r>
      <w:r>
        <w:t xml:space="preserve"> No waiver implied by GC's failure to insist on strict performance — standard.</w:t>
      </w:r>
    </w:p>
    <w:p>
      <w:pPr>
        <w:pStyle w:val="ListNumber"/>
      </w:pPr>
      <w:r>
        <w:rPr>
          <w:b/>
        </w:rPr>
        <w:t>Severability.</w:t>
      </w:r>
      <w:r>
        <w:t xml:space="preserve"> If one clause is invalid, the rest survives — standard.</w:t>
      </w:r>
    </w:p>
    <w:p>
      <w:r>
        <w:t>Before executing, verify against the law of the Project state:</w:t>
      </w:r>
    </w:p>
    <w:tbl>
      <w:tblPr>
        <w:tblStyle w:val="LightGrid-Accent1"/>
        <w:tblW w:type="auto" w:w="0"/>
        <w:tblLook w:firstColumn="1" w:firstRow="1" w:lastColumn="0" w:lastRow="0" w:noHBand="0" w:noVBand="1" w:val="04A0"/>
      </w:tblPr>
      <w:tblGrid>
        <w:gridCol w:w="4320"/>
        <w:gridCol w:w="4320"/>
      </w:tblGrid>
      <w:tr>
        <w:tc>
          <w:tcPr>
            <w:tcW w:type="dxa" w:w="4320"/>
          </w:tcPr>
          <w:p>
            <w:r>
              <w:t>State of Project:</w:t>
            </w:r>
          </w:p>
        </w:tc>
        <w:tc>
          <w:tcPr>
            <w:tcW w:type="dxa" w:w="4320"/>
          </w:tcPr>
          <w:p>
            <w:r>
              <w:t>[State]</w:t>
            </w:r>
          </w:p>
        </w:tc>
      </w:tr>
      <w:tr>
        <w:tc>
          <w:tcPr>
            <w:tcW w:type="dxa" w:w="4320"/>
          </w:tcPr>
          <w:p>
            <w:r>
              <w:t>Anti-Indemnity Statute (limits broad-form indemnity)?</w:t>
            </w:r>
          </w:p>
        </w:tc>
        <w:tc>
          <w:tcPr>
            <w:tcW w:type="dxa" w:w="4320"/>
          </w:tcPr>
          <w:p>
            <w:r>
              <w:t>☐ Yes   ☐ No — citation:[Statute]</w:t>
            </w:r>
          </w:p>
        </w:tc>
      </w:tr>
      <w:tr>
        <w:tc>
          <w:tcPr>
            <w:tcW w:type="dxa" w:w="4320"/>
          </w:tcPr>
          <w:p>
            <w:r>
              <w:t>Pay-If-Paid enforceable in this state?</w:t>
            </w:r>
          </w:p>
        </w:tc>
        <w:tc>
          <w:tcPr>
            <w:tcW w:type="dxa" w:w="4320"/>
          </w:tcPr>
          <w:p>
            <w:r>
              <w:t>☐ Yes   ☐ No   ☐ Limited</w:t>
            </w:r>
          </w:p>
        </w:tc>
      </w:tr>
      <w:tr>
        <w:tc>
          <w:tcPr>
            <w:tcW w:type="dxa" w:w="4320"/>
          </w:tcPr>
          <w:p>
            <w:r>
              <w:t>Statutory lien waiver form required?</w:t>
            </w:r>
          </w:p>
        </w:tc>
        <w:tc>
          <w:tcPr>
            <w:tcW w:type="dxa" w:w="4320"/>
          </w:tcPr>
          <w:p>
            <w:r>
              <w:t>☐ Yes — Form:[Form]☐ No</w:t>
            </w:r>
          </w:p>
        </w:tc>
      </w:tr>
      <w:tr>
        <w:tc>
          <w:tcPr>
            <w:tcW w:type="dxa" w:w="4320"/>
          </w:tcPr>
          <w:p>
            <w:r>
              <w:t>Pre-furnishing lien waiver permitted?</w:t>
            </w:r>
          </w:p>
        </w:tc>
        <w:tc>
          <w:tcPr>
            <w:tcW w:type="dxa" w:w="4320"/>
          </w:tcPr>
          <w:p>
            <w:r>
              <w:t>☐ Yes   ☐ No</w:t>
            </w:r>
          </w:p>
        </w:tc>
      </w:tr>
      <w:tr>
        <w:tc>
          <w:tcPr>
            <w:tcW w:type="dxa" w:w="4320"/>
          </w:tcPr>
          <w:p>
            <w:r>
              <w:t>Prompt Payment Act applies?</w:t>
            </w:r>
          </w:p>
        </w:tc>
        <w:tc>
          <w:tcPr>
            <w:tcW w:type="dxa" w:w="4320"/>
          </w:tcPr>
          <w:p>
            <w:r>
              <w:t>☐ Yes — Interest rate:[%]☐ No</w:t>
            </w:r>
          </w:p>
        </w:tc>
      </w:tr>
      <w:tr>
        <w:tc>
          <w:tcPr>
            <w:tcW w:type="dxa" w:w="4320"/>
          </w:tcPr>
          <w:p>
            <w:r>
              <w:t>Statute of Repose / Limitations for construction defect:</w:t>
            </w:r>
          </w:p>
        </w:tc>
        <w:tc>
          <w:tcPr>
            <w:tcW w:type="dxa" w:w="4320"/>
          </w:tcPr>
          <w:p>
            <w:r>
              <w:t>[Years]</w:t>
            </w:r>
          </w:p>
        </w:tc>
      </w:tr>
      <w:tr>
        <w:tc>
          <w:tcPr>
            <w:tcW w:type="dxa" w:w="4320"/>
          </w:tcPr>
          <w:p>
            <w:r>
              <w:t>Mechanic's lien filing deadline (months after last work):</w:t>
            </w:r>
          </w:p>
        </w:tc>
        <w:tc>
          <w:tcPr>
            <w:tcW w:type="dxa" w:w="4320"/>
          </w:tcPr>
          <w:p>
            <w:r>
              <w:t>[Months]</w:t>
            </w:r>
          </w:p>
        </w:tc>
      </w:tr>
      <w:tr>
        <w:tc>
          <w:tcPr>
            <w:tcW w:type="dxa" w:w="4320"/>
          </w:tcPr>
          <w:p>
            <w:r>
              <w:t>Public-work bond (Little Miller Act) applies?</w:t>
            </w:r>
          </w:p>
        </w:tc>
        <w:tc>
          <w:tcPr>
            <w:tcW w:type="dxa" w:w="4320"/>
          </w:tcPr>
          <w:p>
            <w:r>
              <w:t>☐ Yes   ☐ No</w:t>
            </w:r>
          </w:p>
        </w:tc>
      </w:tr>
      <w:tr>
        <w:tc>
          <w:tcPr>
            <w:tcW w:type="dxa" w:w="4320"/>
          </w:tcPr>
          <w:p>
            <w:r>
              <w:t>Davis-Bacon / state prevailing wage applies?</w:t>
            </w:r>
          </w:p>
        </w:tc>
        <w:tc>
          <w:tcPr>
            <w:tcW w:type="dxa" w:w="4320"/>
          </w:tcPr>
          <w:p>
            <w:r>
              <w:t>☐ Yes   ☐ No</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Article</w:t>
            </w:r>
          </w:p>
        </w:tc>
        <w:tc>
          <w:tcPr>
            <w:tcW w:type="dxa" w:w="2160"/>
          </w:tcPr>
          <w:p>
            <w:r>
              <w:t>Status</w:t>
            </w:r>
          </w:p>
        </w:tc>
        <w:tc>
          <w:tcPr>
            <w:tcW w:type="dxa" w:w="2160"/>
          </w:tcPr>
          <w:p>
            <w:r>
              <w:t>Disposition</w:t>
            </w:r>
          </w:p>
        </w:tc>
        <w:tc>
          <w:tcPr>
            <w:tcW w:type="dxa" w:w="2160"/>
          </w:tcPr>
          <w:p>
            <w:r>
              <w:t>Reviewer Initials</w:t>
            </w:r>
          </w:p>
        </w:tc>
      </w:tr>
      <w:tr>
        <w:tc>
          <w:tcPr>
            <w:tcW w:type="dxa" w:w="2160"/>
          </w:tcPr>
          <w:p>
            <w:r>
              <w:t>1 — Subcontract Documents</w:t>
            </w:r>
          </w:p>
        </w:tc>
        <w:tc>
          <w:tcPr>
            <w:tcW w:type="dxa" w:w="2160"/>
          </w:tcPr>
          <w:p>
            <w:r>
              <w:t>☐ Accept ☐ Redlined ☐ Open</w:t>
            </w:r>
          </w:p>
        </w:tc>
        <w:tc>
          <w:tcPr>
            <w:tcW w:type="dxa" w:w="2160"/>
          </w:tcPr>
          <w:p>
            <w:r>
              <w:t>[Notes]</w:t>
            </w:r>
          </w:p>
        </w:tc>
        <w:tc>
          <w:tcPr>
            <w:tcW w:type="dxa" w:w="2160"/>
          </w:tcPr>
          <w:p>
            <w:r>
              <w:t>[Initials]</w:t>
            </w:r>
          </w:p>
        </w:tc>
      </w:tr>
      <w:tr>
        <w:tc>
          <w:tcPr>
            <w:tcW w:type="dxa" w:w="2160"/>
          </w:tcPr>
          <w:p>
            <w:r>
              <w:t>2 — Scope of Work</w:t>
            </w:r>
          </w:p>
        </w:tc>
        <w:tc>
          <w:tcPr>
            <w:tcW w:type="dxa" w:w="2160"/>
          </w:tcPr>
          <w:p>
            <w:r>
              <w:t>☐ Accept ☐ Redlined ☐ Open</w:t>
            </w:r>
          </w:p>
        </w:tc>
        <w:tc>
          <w:tcPr>
            <w:tcW w:type="dxa" w:w="2160"/>
          </w:tcPr>
          <w:p>
            <w:r>
              <w:t>[Notes]</w:t>
            </w:r>
          </w:p>
        </w:tc>
        <w:tc>
          <w:tcPr>
            <w:tcW w:type="dxa" w:w="2160"/>
          </w:tcPr>
          <w:p>
            <w:r>
              <w:t>[Initials]</w:t>
            </w:r>
          </w:p>
        </w:tc>
      </w:tr>
      <w:tr>
        <w:tc>
          <w:tcPr>
            <w:tcW w:type="dxa" w:w="2160"/>
          </w:tcPr>
          <w:p>
            <w:r>
              <w:t>3 — Time / LDs</w:t>
            </w:r>
          </w:p>
        </w:tc>
        <w:tc>
          <w:tcPr>
            <w:tcW w:type="dxa" w:w="2160"/>
          </w:tcPr>
          <w:p>
            <w:r>
              <w:t>☐ Accept ☐ Redlined ☐ Open</w:t>
            </w:r>
          </w:p>
        </w:tc>
        <w:tc>
          <w:tcPr>
            <w:tcW w:type="dxa" w:w="2160"/>
          </w:tcPr>
          <w:p>
            <w:r>
              <w:t>[Notes]</w:t>
            </w:r>
          </w:p>
        </w:tc>
        <w:tc>
          <w:tcPr>
            <w:tcW w:type="dxa" w:w="2160"/>
          </w:tcPr>
          <w:p>
            <w:r>
              <w:t>[Initials]</w:t>
            </w:r>
          </w:p>
        </w:tc>
      </w:tr>
      <w:tr>
        <w:tc>
          <w:tcPr>
            <w:tcW w:type="dxa" w:w="2160"/>
          </w:tcPr>
          <w:p>
            <w:r>
              <w:t>4 — Payment / PWP vs PIP</w:t>
            </w:r>
          </w:p>
        </w:tc>
        <w:tc>
          <w:tcPr>
            <w:tcW w:type="dxa" w:w="2160"/>
          </w:tcPr>
          <w:p>
            <w:r>
              <w:t>☐ Accept ☐ Redlined ☐ Open</w:t>
            </w:r>
          </w:p>
        </w:tc>
        <w:tc>
          <w:tcPr>
            <w:tcW w:type="dxa" w:w="2160"/>
          </w:tcPr>
          <w:p>
            <w:r>
              <w:t>[Notes]</w:t>
            </w:r>
          </w:p>
        </w:tc>
        <w:tc>
          <w:tcPr>
            <w:tcW w:type="dxa" w:w="2160"/>
          </w:tcPr>
          <w:p>
            <w:r>
              <w:t>[Initials]</w:t>
            </w:r>
          </w:p>
        </w:tc>
      </w:tr>
      <w:tr>
        <w:tc>
          <w:tcPr>
            <w:tcW w:type="dxa" w:w="2160"/>
          </w:tcPr>
          <w:p>
            <w:r>
              <w:t>5 — Changes</w:t>
            </w:r>
          </w:p>
        </w:tc>
        <w:tc>
          <w:tcPr>
            <w:tcW w:type="dxa" w:w="2160"/>
          </w:tcPr>
          <w:p>
            <w:r>
              <w:t>☐ Accept ☐ Redlined ☐ Open</w:t>
            </w:r>
          </w:p>
        </w:tc>
        <w:tc>
          <w:tcPr>
            <w:tcW w:type="dxa" w:w="2160"/>
          </w:tcPr>
          <w:p>
            <w:r>
              <w:t>[Notes]</w:t>
            </w:r>
          </w:p>
        </w:tc>
        <w:tc>
          <w:tcPr>
            <w:tcW w:type="dxa" w:w="2160"/>
          </w:tcPr>
          <w:p>
            <w:r>
              <w:t>[Initials]</w:t>
            </w:r>
          </w:p>
        </w:tc>
      </w:tr>
      <w:tr>
        <w:tc>
          <w:tcPr>
            <w:tcW w:type="dxa" w:w="2160"/>
          </w:tcPr>
          <w:p>
            <w:r>
              <w:t>6 — Insurance</w:t>
            </w:r>
          </w:p>
        </w:tc>
        <w:tc>
          <w:tcPr>
            <w:tcW w:type="dxa" w:w="2160"/>
          </w:tcPr>
          <w:p>
            <w:r>
              <w:t>☐ Accept ☐ Redlined ☐ Open</w:t>
            </w:r>
          </w:p>
        </w:tc>
        <w:tc>
          <w:tcPr>
            <w:tcW w:type="dxa" w:w="2160"/>
          </w:tcPr>
          <w:p>
            <w:r>
              <w:t>[Notes]</w:t>
            </w:r>
          </w:p>
        </w:tc>
        <w:tc>
          <w:tcPr>
            <w:tcW w:type="dxa" w:w="2160"/>
          </w:tcPr>
          <w:p>
            <w:r>
              <w:t>[Initials]</w:t>
            </w:r>
          </w:p>
        </w:tc>
      </w:tr>
      <w:tr>
        <w:tc>
          <w:tcPr>
            <w:tcW w:type="dxa" w:w="2160"/>
          </w:tcPr>
          <w:p>
            <w:r>
              <w:t>7 — Bonds</w:t>
            </w:r>
          </w:p>
        </w:tc>
        <w:tc>
          <w:tcPr>
            <w:tcW w:type="dxa" w:w="2160"/>
          </w:tcPr>
          <w:p>
            <w:r>
              <w:t>☐ Accept ☐ Redlined ☐ Open</w:t>
            </w:r>
          </w:p>
        </w:tc>
        <w:tc>
          <w:tcPr>
            <w:tcW w:type="dxa" w:w="2160"/>
          </w:tcPr>
          <w:p>
            <w:r>
              <w:t>[Notes]</w:t>
            </w:r>
          </w:p>
        </w:tc>
        <w:tc>
          <w:tcPr>
            <w:tcW w:type="dxa" w:w="2160"/>
          </w:tcPr>
          <w:p>
            <w:r>
              <w:t>[Initials]</w:t>
            </w:r>
          </w:p>
        </w:tc>
      </w:tr>
      <w:tr>
        <w:tc>
          <w:tcPr>
            <w:tcW w:type="dxa" w:w="2160"/>
          </w:tcPr>
          <w:p>
            <w:r>
              <w:t>8 — Indemnification</w:t>
            </w:r>
          </w:p>
        </w:tc>
        <w:tc>
          <w:tcPr>
            <w:tcW w:type="dxa" w:w="2160"/>
          </w:tcPr>
          <w:p>
            <w:r>
              <w:t>☐ Accept ☐ Redlined ☐ Open</w:t>
            </w:r>
          </w:p>
        </w:tc>
        <w:tc>
          <w:tcPr>
            <w:tcW w:type="dxa" w:w="2160"/>
          </w:tcPr>
          <w:p>
            <w:r>
              <w:t>[Notes]</w:t>
            </w:r>
          </w:p>
        </w:tc>
        <w:tc>
          <w:tcPr>
            <w:tcW w:type="dxa" w:w="2160"/>
          </w:tcPr>
          <w:p>
            <w:r>
              <w:t>[Initials]</w:t>
            </w:r>
          </w:p>
        </w:tc>
      </w:tr>
      <w:tr>
        <w:tc>
          <w:tcPr>
            <w:tcW w:type="dxa" w:w="2160"/>
          </w:tcPr>
          <w:p>
            <w:r>
              <w:t>9 — Lien Waivers</w:t>
            </w:r>
          </w:p>
        </w:tc>
        <w:tc>
          <w:tcPr>
            <w:tcW w:type="dxa" w:w="2160"/>
          </w:tcPr>
          <w:p>
            <w:r>
              <w:t>☐ Accept ☐ Redlined ☐ Open</w:t>
            </w:r>
          </w:p>
        </w:tc>
        <w:tc>
          <w:tcPr>
            <w:tcW w:type="dxa" w:w="2160"/>
          </w:tcPr>
          <w:p>
            <w:r>
              <w:t>[Notes]</w:t>
            </w:r>
          </w:p>
        </w:tc>
        <w:tc>
          <w:tcPr>
            <w:tcW w:type="dxa" w:w="2160"/>
          </w:tcPr>
          <w:p>
            <w:r>
              <w:t>[Initials]</w:t>
            </w:r>
          </w:p>
        </w:tc>
      </w:tr>
      <w:tr>
        <w:tc>
          <w:tcPr>
            <w:tcW w:type="dxa" w:w="2160"/>
          </w:tcPr>
          <w:p>
            <w:r>
              <w:t>10 — Warranties</w:t>
            </w:r>
          </w:p>
        </w:tc>
        <w:tc>
          <w:tcPr>
            <w:tcW w:type="dxa" w:w="2160"/>
          </w:tcPr>
          <w:p>
            <w:r>
              <w:t>☐ Accept ☐ Redlined ☐ Open</w:t>
            </w:r>
          </w:p>
        </w:tc>
        <w:tc>
          <w:tcPr>
            <w:tcW w:type="dxa" w:w="2160"/>
          </w:tcPr>
          <w:p>
            <w:r>
              <w:t>[Notes]</w:t>
            </w:r>
          </w:p>
        </w:tc>
        <w:tc>
          <w:tcPr>
            <w:tcW w:type="dxa" w:w="2160"/>
          </w:tcPr>
          <w:p>
            <w:r>
              <w:t>[Initials]</w:t>
            </w:r>
          </w:p>
        </w:tc>
      </w:tr>
      <w:tr>
        <w:tc>
          <w:tcPr>
            <w:tcW w:type="dxa" w:w="2160"/>
          </w:tcPr>
          <w:p>
            <w:r>
              <w:t>11 — Lower-Tier Subs</w:t>
            </w:r>
          </w:p>
        </w:tc>
        <w:tc>
          <w:tcPr>
            <w:tcW w:type="dxa" w:w="2160"/>
          </w:tcPr>
          <w:p>
            <w:r>
              <w:t>☐ Accept ☐ Redlined ☐ Open</w:t>
            </w:r>
          </w:p>
        </w:tc>
        <w:tc>
          <w:tcPr>
            <w:tcW w:type="dxa" w:w="2160"/>
          </w:tcPr>
          <w:p>
            <w:r>
              <w:t>[Notes]</w:t>
            </w:r>
          </w:p>
        </w:tc>
        <w:tc>
          <w:tcPr>
            <w:tcW w:type="dxa" w:w="2160"/>
          </w:tcPr>
          <w:p>
            <w:r>
              <w:t>[Initials]</w:t>
            </w:r>
          </w:p>
        </w:tc>
      </w:tr>
      <w:tr>
        <w:tc>
          <w:tcPr>
            <w:tcW w:type="dxa" w:w="2160"/>
          </w:tcPr>
          <w:p>
            <w:r>
              <w:t>12 — Safety / Site</w:t>
            </w:r>
          </w:p>
        </w:tc>
        <w:tc>
          <w:tcPr>
            <w:tcW w:type="dxa" w:w="2160"/>
          </w:tcPr>
          <w:p>
            <w:r>
              <w:t>☐ Accept ☐ Redlined ☐ Open</w:t>
            </w:r>
          </w:p>
        </w:tc>
        <w:tc>
          <w:tcPr>
            <w:tcW w:type="dxa" w:w="2160"/>
          </w:tcPr>
          <w:p>
            <w:r>
              <w:t>[Notes]</w:t>
            </w:r>
          </w:p>
        </w:tc>
        <w:tc>
          <w:tcPr>
            <w:tcW w:type="dxa" w:w="2160"/>
          </w:tcPr>
          <w:p>
            <w:r>
              <w:t>[Initials]</w:t>
            </w:r>
          </w:p>
        </w:tc>
      </w:tr>
      <w:tr>
        <w:tc>
          <w:tcPr>
            <w:tcW w:type="dxa" w:w="2160"/>
          </w:tcPr>
          <w:p>
            <w:r>
              <w:t>13 — Default / Termination</w:t>
            </w:r>
          </w:p>
        </w:tc>
        <w:tc>
          <w:tcPr>
            <w:tcW w:type="dxa" w:w="2160"/>
          </w:tcPr>
          <w:p>
            <w:r>
              <w:t>☐ Accept ☐ Redlined ☐ Open</w:t>
            </w:r>
          </w:p>
        </w:tc>
        <w:tc>
          <w:tcPr>
            <w:tcW w:type="dxa" w:w="2160"/>
          </w:tcPr>
          <w:p>
            <w:r>
              <w:t>[Notes]</w:t>
            </w:r>
          </w:p>
        </w:tc>
        <w:tc>
          <w:tcPr>
            <w:tcW w:type="dxa" w:w="2160"/>
          </w:tcPr>
          <w:p>
            <w:r>
              <w:t>[Initials]</w:t>
            </w:r>
          </w:p>
        </w:tc>
      </w:tr>
      <w:tr>
        <w:tc>
          <w:tcPr>
            <w:tcW w:type="dxa" w:w="2160"/>
          </w:tcPr>
          <w:p>
            <w:r>
              <w:t>14 — Dispute Resolution</w:t>
            </w:r>
          </w:p>
        </w:tc>
        <w:tc>
          <w:tcPr>
            <w:tcW w:type="dxa" w:w="2160"/>
          </w:tcPr>
          <w:p>
            <w:r>
              <w:t>☐ Accept ☐ Redlined ☐ Open</w:t>
            </w:r>
          </w:p>
        </w:tc>
        <w:tc>
          <w:tcPr>
            <w:tcW w:type="dxa" w:w="2160"/>
          </w:tcPr>
          <w:p>
            <w:r>
              <w:t>[Notes]</w:t>
            </w:r>
          </w:p>
        </w:tc>
        <w:tc>
          <w:tcPr>
            <w:tcW w:type="dxa" w:w="2160"/>
          </w:tcPr>
          <w:p>
            <w:r>
              <w:t>[Initials]</w:t>
            </w:r>
          </w:p>
        </w:tc>
      </w:tr>
      <w:tr>
        <w:tc>
          <w:tcPr>
            <w:tcW w:type="dxa" w:w="2160"/>
          </w:tcPr>
          <w:p>
            <w:r>
              <w:t>15 — Miscellaneous</w:t>
            </w:r>
          </w:p>
        </w:tc>
        <w:tc>
          <w:tcPr>
            <w:tcW w:type="dxa" w:w="2160"/>
          </w:tcPr>
          <w:p>
            <w:r>
              <w:t>☐ Accept ☐ Redlined ☐ Open</w:t>
            </w:r>
          </w:p>
        </w:tc>
        <w:tc>
          <w:tcPr>
            <w:tcW w:type="dxa" w:w="2160"/>
          </w:tcPr>
          <w:p>
            <w:r>
              <w:t>[Notes]</w:t>
            </w:r>
          </w:p>
        </w:tc>
        <w:tc>
          <w:tcPr>
            <w:tcW w:type="dxa" w:w="2160"/>
          </w:tcPr>
          <w:p>
            <w:r>
              <w:t>[Initials]</w:t>
            </w:r>
          </w:p>
        </w:tc>
      </w:tr>
      <w:tr>
        <w:tc>
          <w:tcPr>
            <w:tcW w:type="dxa" w:w="2160"/>
          </w:tcPr>
          <w:p>
            <w:r>
              <w:t>17 — State-Law Sanity</w:t>
            </w:r>
          </w:p>
        </w:tc>
        <w:tc>
          <w:tcPr>
            <w:tcW w:type="dxa" w:w="2160"/>
          </w:tcPr>
          <w:p>
            <w:r>
              <w:t>☐ Accept ☐ Redlined ☐ Open</w:t>
            </w:r>
          </w:p>
        </w:tc>
        <w:tc>
          <w:tcPr>
            <w:tcW w:type="dxa" w:w="2160"/>
          </w:tcPr>
          <w:p>
            <w:r>
              <w:t>[Notes]</w:t>
            </w:r>
          </w:p>
        </w:tc>
        <w:tc>
          <w:tcPr>
            <w:tcW w:type="dxa" w:w="2160"/>
          </w:tcPr>
          <w:p>
            <w:r>
              <w:t>[Initials]</w:t>
            </w:r>
          </w:p>
        </w:tc>
      </w:tr>
    </w:tbl>
    <w:tbl>
      <w:tblPr>
        <w:tblStyle w:val="LightGrid-Accent1"/>
        <w:tblW w:type="auto" w:w="0"/>
        <w:tblLook w:firstColumn="1" w:firstRow="1" w:lastColumn="0" w:lastRow="0" w:noHBand="0" w:noVBand="1" w:val="04A0"/>
      </w:tblPr>
      <w:tblGrid>
        <w:gridCol w:w="4320"/>
        <w:gridCol w:w="4320"/>
      </w:tblGrid>
      <w:tr>
        <w:tc>
          <w:tcPr>
            <w:tcW w:type="dxa" w:w="4320"/>
          </w:tcPr>
          <w:p>
            <w:r>
              <w:t>Reviewed by (Project Manager):</w:t>
            </w:r>
          </w:p>
        </w:tc>
        <w:tc>
          <w:tcPr>
            <w:tcW w:type="dxa" w:w="4320"/>
          </w:tcPr>
          <w:p>
            <w:r>
              <w:t>[Name / Signature / Date]</w:t>
            </w:r>
          </w:p>
        </w:tc>
      </w:tr>
      <w:tr>
        <w:tc>
          <w:tcPr>
            <w:tcW w:type="dxa" w:w="4320"/>
          </w:tcPr>
          <w:p>
            <w:r>
              <w:t>Reviewed by (Estimator):</w:t>
            </w:r>
          </w:p>
        </w:tc>
        <w:tc>
          <w:tcPr>
            <w:tcW w:type="dxa" w:w="4320"/>
          </w:tcPr>
          <w:p>
            <w:r>
              <w:t>[Name / Signature / Date]</w:t>
            </w:r>
          </w:p>
        </w:tc>
      </w:tr>
      <w:tr>
        <w:tc>
          <w:tcPr>
            <w:tcW w:type="dxa" w:w="4320"/>
          </w:tcPr>
          <w:p>
            <w:r>
              <w:t>Reviewed by (Controller):</w:t>
            </w:r>
          </w:p>
        </w:tc>
        <w:tc>
          <w:tcPr>
            <w:tcW w:type="dxa" w:w="4320"/>
          </w:tcPr>
          <w:p>
            <w:r>
              <w:t>[Name / Signature / Date]</w:t>
            </w:r>
          </w:p>
        </w:tc>
      </w:tr>
      <w:tr>
        <w:tc>
          <w:tcPr>
            <w:tcW w:type="dxa" w:w="4320"/>
          </w:tcPr>
          <w:p>
            <w:r>
              <w:t>Reviewed by (Outside Counsel — required for new GC):</w:t>
            </w:r>
          </w:p>
        </w:tc>
        <w:tc>
          <w:tcPr>
            <w:tcW w:type="dxa" w:w="4320"/>
          </w:tcPr>
          <w:p>
            <w:r>
              <w:t>[Name / Signature / Date]</w:t>
            </w:r>
          </w:p>
        </w:tc>
      </w:tr>
      <w:tr>
        <w:tc>
          <w:tcPr>
            <w:tcW w:type="dxa" w:w="4320"/>
          </w:tcPr>
          <w:p>
            <w:r>
              <w:t>Approved for Execution (Principal):</w:t>
            </w:r>
          </w:p>
        </w:tc>
        <w:tc>
          <w:tcPr>
            <w:tcW w:type="dxa" w:w="4320"/>
          </w:tcPr>
          <w:p>
            <w:r>
              <w:t>[Name / Signature / Date]</w:t>
            </w:r>
          </w:p>
        </w:tc>
      </w:tr>
    </w:tbl>
    <w:p>
      <w:r>
        <w:t>Document version: 2026-05-17 (v1.0) — ContrPro Universal Sub Suite. Article structure parallels the ContrPro Master Subcontract Agreement (GC suite) and AIA Document A401 (Standard Form of Agreement Between Contractor and Subcontractor) without reproducing AIA's copyrighted form. State-law citations and statutes-of-repose schedules current as of January 2026; verify against current state code and case law before relying on any specific enforceability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