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Raceway Selection by Environment</w:t>
      </w:r>
    </w:p>
    <w:p>
      <w:pPr>
        <w:pStyle w:val="ListNumber"/>
      </w:pPr>
      <w:r>
        <w:t>Conduit Fill (NEC Chapter 9 Table 1)</w:t>
      </w:r>
    </w:p>
    <w:p>
      <w:pPr>
        <w:pStyle w:val="ListNumber"/>
      </w:pPr>
      <w:r>
        <w:t>Conduit Support Spacing</w:t>
      </w:r>
    </w:p>
    <w:p>
      <w:pPr>
        <w:pStyle w:val="ListNumber"/>
      </w:pPr>
      <w:r>
        <w:t>Bend Radius + Pull Boxes</w:t>
      </w:r>
    </w:p>
    <w:p>
      <w:pPr>
        <w:pStyle w:val="ListNumber"/>
      </w:pPr>
      <w:r>
        <w:t>Conductor Selection (Ampacity + Voltage Drop)</w:t>
      </w:r>
    </w:p>
    <w:p>
      <w:pPr>
        <w:pStyle w:val="ListNumber"/>
      </w:pPr>
      <w:r>
        <w:t>Pull Tension Limits + Pulling Compound</w:t>
      </w:r>
    </w:p>
    <w:p>
      <w:pPr>
        <w:pStyle w:val="ListNumber"/>
      </w:pPr>
      <w:r>
        <w:t>Splices + Terminations</w:t>
      </w:r>
    </w:p>
    <w:p>
      <w:pPr>
        <w:pStyle w:val="ListNumber"/>
      </w:pPr>
      <w:r>
        <w:t>Voltage-Class Separation</w:t>
      </w:r>
    </w:p>
    <w:p>
      <w:pPr>
        <w:pStyle w:val="ListNumber"/>
      </w:pPr>
      <w:r>
        <w:t>Underground Raceway (NEC 300.5)</w:t>
      </w:r>
    </w:p>
    <w:p>
      <w:pPr>
        <w:pStyle w:val="ListNumber"/>
      </w:pPr>
      <w:r>
        <w:t>Acceptance Tests (Megger Insulation)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Acceptable Raceway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Interior, exposed, dry</w:t>
            </w:r>
          </w:p>
        </w:tc>
        <w:tc>
          <w:tcPr>
            <w:tcW w:type="dxa" w:w="2880"/>
          </w:tcPr>
          <w:p>
            <w:r>
              <w:t>EMT, RMC, IMC, MC cable, AC cable</w:t>
            </w:r>
          </w:p>
        </w:tc>
        <w:tc>
          <w:tcPr>
            <w:tcW w:type="dxa" w:w="2880"/>
          </w:tcPr>
          <w:p>
            <w:r>
              <w:t>EMT most common; verify hangers at proper spacing</w:t>
            </w:r>
          </w:p>
        </w:tc>
      </w:tr>
      <w:tr>
        <w:tc>
          <w:tcPr>
            <w:tcW w:type="dxa" w:w="2880"/>
          </w:tcPr>
          <w:p>
            <w:r>
              <w:t>Interior, concealed, dry (above-grade)</w:t>
            </w:r>
          </w:p>
        </w:tc>
        <w:tc>
          <w:tcPr>
            <w:tcW w:type="dxa" w:w="2880"/>
          </w:tcPr>
          <w:p>
            <w:r>
              <w:t>EMT, MC, AC, RMC, IMC</w:t>
            </w:r>
          </w:p>
        </w:tc>
        <w:tc>
          <w:tcPr>
            <w:tcW w:type="dxa" w:w="2880"/>
          </w:tcPr>
          <w:p>
            <w:r>
              <w:t>MC cable common in commercial drywall</w:t>
            </w:r>
          </w:p>
        </w:tc>
      </w:tr>
      <w:tr>
        <w:tc>
          <w:tcPr>
            <w:tcW w:type="dxa" w:w="2880"/>
          </w:tcPr>
          <w:p>
            <w:r>
              <w:t>Wet location indoor (cooler, wash-down)</w:t>
            </w:r>
          </w:p>
        </w:tc>
        <w:tc>
          <w:tcPr>
            <w:tcW w:type="dxa" w:w="2880"/>
          </w:tcPr>
          <w:p>
            <w:r>
              <w:t>RMC, IMC, PVC, liquidtight flex</w:t>
            </w:r>
          </w:p>
        </w:tc>
        <w:tc>
          <w:tcPr>
            <w:tcW w:type="dxa" w:w="2880"/>
          </w:tcPr>
          <w:p>
            <w:r>
              <w:t>Liquidtight for vibration loops</w:t>
            </w:r>
          </w:p>
        </w:tc>
      </w:tr>
      <w:tr>
        <w:tc>
          <w:tcPr>
            <w:tcW w:type="dxa" w:w="2880"/>
          </w:tcPr>
          <w:p>
            <w:r>
              <w:t>Outdoor, exposed</w:t>
            </w:r>
          </w:p>
        </w:tc>
        <w:tc>
          <w:tcPr>
            <w:tcW w:type="dxa" w:w="2880"/>
          </w:tcPr>
          <w:p>
            <w:r>
              <w:t>RMC, IMC, PVC schedule 80 (above grade)</w:t>
            </w:r>
          </w:p>
        </w:tc>
        <w:tc>
          <w:tcPr>
            <w:tcW w:type="dxa" w:w="2880"/>
          </w:tcPr>
          <w:p>
            <w:r>
              <w:t>PVC Schedule 80 only above-grade for above-ground use per NEC 352.10(F)</w:t>
            </w:r>
          </w:p>
        </w:tc>
      </w:tr>
      <w:tr>
        <w:tc>
          <w:tcPr>
            <w:tcW w:type="dxa" w:w="2880"/>
          </w:tcPr>
          <w:p>
            <w:r>
              <w:t>Underground direct burial</w:t>
            </w:r>
          </w:p>
        </w:tc>
        <w:tc>
          <w:tcPr>
            <w:tcW w:type="dxa" w:w="2880"/>
          </w:tcPr>
          <w:p>
            <w:r>
              <w:t>PVC schedule 40 / 80, RGS, IMC w/ approved coating</w:t>
            </w:r>
          </w:p>
        </w:tc>
        <w:tc>
          <w:tcPr>
            <w:tcW w:type="dxa" w:w="2880"/>
          </w:tcPr>
          <w:p>
            <w:r>
              <w:t>Concrete encasement may upgrade depth</w:t>
            </w:r>
          </w:p>
        </w:tc>
      </w:tr>
      <w:tr>
        <w:tc>
          <w:tcPr>
            <w:tcW w:type="dxa" w:w="2880"/>
          </w:tcPr>
          <w:p>
            <w:r>
              <w:t>Classified hazardous</w:t>
            </w:r>
          </w:p>
        </w:tc>
        <w:tc>
          <w:tcPr>
            <w:tcW w:type="dxa" w:w="2880"/>
          </w:tcPr>
          <w:p>
            <w:r>
              <w:t>RMC, IMC w/ explosion-proof fittings, MC-HL cable</w:t>
            </w:r>
          </w:p>
        </w:tc>
        <w:tc>
          <w:tcPr>
            <w:tcW w:type="dxa" w:w="2880"/>
          </w:tcPr>
          <w:p>
            <w:r>
              <w:t>NEC Article 500-516; engineering required</w:t>
            </w:r>
          </w:p>
        </w:tc>
      </w:tr>
      <w:tr>
        <w:tc>
          <w:tcPr>
            <w:tcW w:type="dxa" w:w="2880"/>
          </w:tcPr>
          <w:p>
            <w:r>
              <w:t>Plenum (above acoustic tile ceiling)</w:t>
            </w:r>
          </w:p>
        </w:tc>
        <w:tc>
          <w:tcPr>
            <w:tcW w:type="dxa" w:w="2880"/>
          </w:tcPr>
          <w:p>
            <w:r>
              <w:t>Plenum-rated cable (CMP, MPP), EMT</w:t>
            </w:r>
          </w:p>
        </w:tc>
        <w:tc>
          <w:tcPr>
            <w:tcW w:type="dxa" w:w="2880"/>
          </w:tcPr>
          <w:p>
            <w:r>
              <w:t>Verify ceiling category (return-air plenum vs. ducted)</w:t>
            </w:r>
          </w:p>
        </w:tc>
      </w:tr>
      <w:tr>
        <w:tc>
          <w:tcPr>
            <w:tcW w:type="dxa" w:w="2880"/>
          </w:tcPr>
          <w:p>
            <w:r>
              <w:t>Cable tray</w:t>
            </w:r>
          </w:p>
        </w:tc>
        <w:tc>
          <w:tcPr>
            <w:tcW w:type="dxa" w:w="2880"/>
          </w:tcPr>
          <w:p>
            <w:r>
              <w:t>Tray-rated cables (TC), single conductors in some applications</w:t>
            </w:r>
          </w:p>
        </w:tc>
        <w:tc>
          <w:tcPr>
            <w:tcW w:type="dxa" w:w="2880"/>
          </w:tcPr>
          <w:p>
            <w:r>
              <w:t>Article 392 fill limits</w:t>
            </w:r>
          </w:p>
        </w:tc>
      </w:tr>
    </w:tbl>
    <w:p>
      <w:r>
        <w:t>NEC Chapter 9 Table 1 — maximum fill:</w:t>
      </w:r>
    </w:p>
    <w:p>
      <w:pPr>
        <w:pStyle w:val="ListBullet"/>
      </w:pPr>
      <w:r>
        <w:rPr>
          <w:b/>
        </w:rPr>
        <w:t>1 conductor</w:t>
      </w:r>
      <w:r>
        <w:t>: 53% of conduit cross-section.</w:t>
      </w:r>
    </w:p>
    <w:p>
      <w:pPr>
        <w:pStyle w:val="ListBullet"/>
      </w:pPr>
      <w:r>
        <w:rPr>
          <w:b/>
        </w:rPr>
        <w:t>2 conductors</w:t>
      </w:r>
      <w:r>
        <w:t>: 31%.</w:t>
      </w:r>
    </w:p>
    <w:p>
      <w:pPr>
        <w:pStyle w:val="ListBullet"/>
      </w:pPr>
      <w:r>
        <w:rPr>
          <w:b/>
        </w:rPr>
        <w:t>3 or more conductors</w:t>
      </w:r>
      <w:r>
        <w:t>: 40%.</w:t>
      </w:r>
    </w:p>
    <w:p>
      <w:r>
        <w:t>Use Chapter 9 Tables 4 (raceway area) + 5 (conductor area) to verify. Or use a conduit</w:t>
        <w:br/>
        <w:t xml:space="preserve">    fill calculator. ALSO verify NEC 310.15(B)(3)(a) ampacity adjustment for &gt;3 CCC in raceway.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Conduit</w:t>
            </w:r>
          </w:p>
        </w:tc>
        <w:tc>
          <w:tcPr>
            <w:tcW w:type="dxa" w:w="2880"/>
          </w:tcPr>
          <w:p>
            <w:r>
              <w:t>40% fill area (sq in)</w:t>
            </w:r>
          </w:p>
        </w:tc>
        <w:tc>
          <w:tcPr>
            <w:tcW w:type="dxa" w:w="2880"/>
          </w:tcPr>
          <w:p>
            <w:r>
              <w:t>Approx. #12 THHN count</w:t>
            </w:r>
          </w:p>
        </w:tc>
      </w:tr>
      <w:tr>
        <w:tc>
          <w:tcPr>
            <w:tcW w:type="dxa" w:w="2880"/>
          </w:tcPr>
          <w:p>
            <w:r>
              <w:t>1/2" EMT</w:t>
            </w:r>
          </w:p>
        </w:tc>
        <w:tc>
          <w:tcPr>
            <w:tcW w:type="dxa" w:w="2880"/>
          </w:tcPr>
          <w:p>
            <w:r>
              <w:t>0.122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3/4" EMT</w:t>
            </w:r>
          </w:p>
        </w:tc>
        <w:tc>
          <w:tcPr>
            <w:tcW w:type="dxa" w:w="2880"/>
          </w:tcPr>
          <w:p>
            <w:r>
              <w:t>0.213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1" EMT</w:t>
            </w:r>
          </w:p>
        </w:tc>
        <w:tc>
          <w:tcPr>
            <w:tcW w:type="dxa" w:w="2880"/>
          </w:tcPr>
          <w:p>
            <w:r>
              <w:t>0.346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1-1/4" EMT</w:t>
            </w:r>
          </w:p>
        </w:tc>
        <w:tc>
          <w:tcPr>
            <w:tcW w:type="dxa" w:w="2880"/>
          </w:tcPr>
          <w:p>
            <w:r>
              <w:t>0.598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1-1/2" EMT</w:t>
            </w:r>
          </w:p>
        </w:tc>
        <w:tc>
          <w:tcPr>
            <w:tcW w:type="dxa" w:w="2880"/>
          </w:tcPr>
          <w:p>
            <w:r>
              <w:t>0.814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2" EMT</w:t>
            </w:r>
          </w:p>
        </w:tc>
        <w:tc>
          <w:tcPr>
            <w:tcW w:type="dxa" w:w="2880"/>
          </w:tcPr>
          <w:p>
            <w:r>
              <w:t>1.342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2-1/2" EMT</w:t>
            </w:r>
          </w:p>
        </w:tc>
        <w:tc>
          <w:tcPr>
            <w:tcW w:type="dxa" w:w="2880"/>
          </w:tcPr>
          <w:p>
            <w:r>
              <w:t>2.343</w:t>
            </w:r>
          </w:p>
        </w:tc>
        <w:tc>
          <w:tcPr>
            <w:tcW w:type="dxa" w:w="2880"/>
          </w:tcPr>
          <w:p>
            <w:r>
              <w:t>173</w:t>
            </w:r>
          </w:p>
        </w:tc>
      </w:tr>
      <w:tr>
        <w:tc>
          <w:tcPr>
            <w:tcW w:type="dxa" w:w="2880"/>
          </w:tcPr>
          <w:p>
            <w:r>
              <w:t>3" EMT</w:t>
            </w:r>
          </w:p>
        </w:tc>
        <w:tc>
          <w:tcPr>
            <w:tcW w:type="dxa" w:w="2880"/>
          </w:tcPr>
          <w:p>
            <w:r>
              <w:t>3.538</w:t>
            </w:r>
          </w:p>
        </w:tc>
        <w:tc>
          <w:tcPr>
            <w:tcW w:type="dxa" w:w="2880"/>
          </w:tcPr>
          <w:p>
            <w:r>
              <w:t>261</w:t>
            </w:r>
          </w:p>
        </w:tc>
      </w:tr>
      <w:tr>
        <w:tc>
          <w:tcPr>
            <w:tcW w:type="dxa" w:w="2880"/>
          </w:tcPr>
          <w:p>
            <w:r>
              <w:t>4" EMT</w:t>
            </w:r>
          </w:p>
        </w:tc>
        <w:tc>
          <w:tcPr>
            <w:tcW w:type="dxa" w:w="2880"/>
          </w:tcPr>
          <w:p>
            <w:r>
              <w:t>6.140</w:t>
            </w:r>
          </w:p>
        </w:tc>
        <w:tc>
          <w:tcPr>
            <w:tcW w:type="dxa" w:w="2880"/>
          </w:tcPr>
          <w:p>
            <w:r>
              <w:t>454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Max Support Spacing (Horizontal)</w:t>
            </w:r>
          </w:p>
        </w:tc>
        <w:tc>
          <w:tcPr>
            <w:tcW w:type="dxa" w:w="2880"/>
          </w:tcPr>
          <w:p>
            <w:r>
              <w:t>Support Within</w:t>
            </w:r>
          </w:p>
        </w:tc>
      </w:tr>
      <w:tr>
        <w:tc>
          <w:tcPr>
            <w:tcW w:type="dxa" w:w="2880"/>
          </w:tcPr>
          <w:p>
            <w:r>
              <w:t>EMT 1/2" - 3/4"</w:t>
            </w:r>
          </w:p>
        </w:tc>
        <w:tc>
          <w:tcPr>
            <w:tcW w:type="dxa" w:w="2880"/>
          </w:tcPr>
          <w:p>
            <w:r>
              <w:t>10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EMT 1" - 2"</w:t>
            </w:r>
          </w:p>
        </w:tc>
        <w:tc>
          <w:tcPr>
            <w:tcW w:type="dxa" w:w="2880"/>
          </w:tcPr>
          <w:p>
            <w:r>
              <w:t>10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EMT 2-1/2" - 4"</w:t>
            </w:r>
          </w:p>
        </w:tc>
        <w:tc>
          <w:tcPr>
            <w:tcW w:type="dxa" w:w="2880"/>
          </w:tcPr>
          <w:p>
            <w:r>
              <w:t>10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RMC / IMC ≤1"</w:t>
            </w:r>
          </w:p>
        </w:tc>
        <w:tc>
          <w:tcPr>
            <w:tcW w:type="dxa" w:w="2880"/>
          </w:tcPr>
          <w:p>
            <w:r>
              <w:t>10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PVC schedule 40 — 1/2" to 1"</w:t>
            </w:r>
          </w:p>
        </w:tc>
        <w:tc>
          <w:tcPr>
            <w:tcW w:type="dxa" w:w="2880"/>
          </w:tcPr>
          <w:p>
            <w:r>
              <w:t>3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PVC schedule 40 — 1-1/4" to 2"</w:t>
            </w:r>
          </w:p>
        </w:tc>
        <w:tc>
          <w:tcPr>
            <w:tcW w:type="dxa" w:w="2880"/>
          </w:tcPr>
          <w:p>
            <w:r>
              <w:t>5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PVC schedule 40 — 2-1/2" to 6"</w:t>
            </w:r>
          </w:p>
        </w:tc>
        <w:tc>
          <w:tcPr>
            <w:tcW w:type="dxa" w:w="2880"/>
          </w:tcPr>
          <w:p>
            <w:r>
              <w:t>8 ft</w:t>
            </w:r>
          </w:p>
        </w:tc>
        <w:tc>
          <w:tcPr>
            <w:tcW w:type="dxa" w:w="2880"/>
          </w:tcPr>
          <w:p>
            <w:r>
              <w:t>3 ft of each box/fitting</w:t>
            </w:r>
          </w:p>
        </w:tc>
      </w:tr>
      <w:tr>
        <w:tc>
          <w:tcPr>
            <w:tcW w:type="dxa" w:w="2880"/>
          </w:tcPr>
          <w:p>
            <w:r>
              <w:t>MC cable</w:t>
            </w:r>
          </w:p>
        </w:tc>
        <w:tc>
          <w:tcPr>
            <w:tcW w:type="dxa" w:w="2880"/>
          </w:tcPr>
          <w:p>
            <w:r>
              <w:t>6 ft</w:t>
            </w:r>
          </w:p>
        </w:tc>
        <w:tc>
          <w:tcPr>
            <w:tcW w:type="dxa" w:w="2880"/>
          </w:tcPr>
          <w:p>
            <w:r>
              <w:t>12 in of each box</w:t>
            </w:r>
          </w:p>
        </w:tc>
      </w:tr>
      <w:tr>
        <w:tc>
          <w:tcPr>
            <w:tcW w:type="dxa" w:w="2880"/>
          </w:tcPr>
          <w:p>
            <w:r>
              <w:t>AC cable</w:t>
            </w:r>
          </w:p>
        </w:tc>
        <w:tc>
          <w:tcPr>
            <w:tcW w:type="dxa" w:w="2880"/>
          </w:tcPr>
          <w:p>
            <w:r>
              <w:t>4.5 ft</w:t>
            </w:r>
          </w:p>
        </w:tc>
        <w:tc>
          <w:tcPr>
            <w:tcW w:type="dxa" w:w="2880"/>
          </w:tcPr>
          <w:p>
            <w:r>
              <w:t>12 in of each box</w:t>
            </w:r>
          </w:p>
        </w:tc>
      </w:tr>
      <w:tr>
        <w:tc>
          <w:tcPr>
            <w:tcW w:type="dxa" w:w="2880"/>
          </w:tcPr>
          <w:p>
            <w:r>
              <w:t>Flex (Greenfield) ≤ 1-1/4"</w:t>
            </w:r>
          </w:p>
        </w:tc>
        <w:tc>
          <w:tcPr>
            <w:tcW w:type="dxa" w:w="2880"/>
          </w:tcPr>
          <w:p>
            <w:r>
              <w:t>4.5 ft (where required)</w:t>
            </w:r>
          </w:p>
        </w:tc>
        <w:tc>
          <w:tcPr>
            <w:tcW w:type="dxa" w:w="2880"/>
          </w:tcPr>
          <w:p>
            <w:r>
              <w:t>12 in of each box</w:t>
            </w:r>
          </w:p>
        </w:tc>
      </w:tr>
    </w:tbl>
    <w:p>
      <w:pPr>
        <w:pStyle w:val="ListBullet"/>
      </w:pPr>
      <w:r>
        <w:rPr>
          <w:b/>
        </w:rPr>
        <w:t>Max 360° of bend</w:t>
      </w:r>
      <w:r>
        <w:t xml:space="preserve"> between pull boxes (NEC 358.26 EMT, 344.26 RMC, 352.26 PVC).</w:t>
      </w:r>
    </w:p>
    <w:p>
      <w:pPr>
        <w:pStyle w:val="ListBullet"/>
      </w:pPr>
      <w:r>
        <w:rPr>
          <w:b/>
        </w:rPr>
        <w:t>Minimum bend radius</w:t>
      </w:r>
      <w:r>
        <w:t xml:space="preserve"> — NEC Chapter 9 Table 2. PVC larger than steel.</w:t>
        <w:br/>
        <w:t xml:space="preserve">            Example: 1" RGS / IMC = 5-3/4"; 1" PVC = 6"; 2" RGS = 9-1/2".</w:t>
      </w:r>
    </w:p>
    <w:p>
      <w:pPr>
        <w:pStyle w:val="ListBullet"/>
      </w:pPr>
      <w:r>
        <w:rPr>
          <w:b/>
        </w:rPr>
        <w:t>Pull boxes</w:t>
      </w:r>
      <w:r>
        <w:t xml:space="preserve"> sized per NEC 314.28 — straight pulls ≥8× largest raceway;</w:t>
        <w:br/>
        <w:t xml:space="preserve">            angle pulls per formula. Pull-box sizing failure is the most common rejection at</w:t>
        <w:br/>
        <w:t xml:space="preserve">            rough-in inspection.</w:t>
      </w:r>
    </w:p>
    <w:p>
      <w:pPr>
        <w:pStyle w:val="ListBullet"/>
      </w:pPr>
      <w:r>
        <w:rPr>
          <w:b/>
        </w:rPr>
        <w:t>Ampacity</w:t>
      </w:r>
      <w:r>
        <w:t xml:space="preserve"> — NEC Table 310.16. Calibrate for ambient temperature (310.15(B)(1))</w:t>
        <w:br/>
        <w:t xml:space="preserve">            and number of CCCs in raceway (310.15(B)(3)(a)).</w:t>
      </w:r>
    </w:p>
    <w:p>
      <w:pPr>
        <w:pStyle w:val="ListBullet"/>
      </w:pPr>
      <w:r>
        <w:rPr>
          <w:b/>
        </w:rPr>
        <w:t>Voltage drop</w:t>
      </w:r>
      <w:r>
        <w:t xml:space="preserve"> — informational, not mandatory by NEC, but typically targeted</w:t>
        <w:br/>
        <w:t xml:space="preserve">            at ≤3% on branch + ≤5% combined (NEC Informational Note 215.2). Reference</w:t>
        <w:br/>
        <w:t xml:space="preserve">            calculation = K × I × L / Cmils (single phase) or 1.732 × K × I × L / Cmils (3-phase),</w:t>
        <w:br/>
        <w:t xml:space="preserve">            with K = 12.9 (copper) or 21.2 (aluminum) at 75°C.</w:t>
      </w:r>
    </w:p>
    <w:p>
      <w:pPr>
        <w:pStyle w:val="ListBullet"/>
      </w:pPr>
      <w:r>
        <w:rPr>
          <w:b/>
        </w:rPr>
        <w:t>Insulation rating</w:t>
      </w:r>
      <w:r>
        <w:t xml:space="preserve"> — match the equipment terminal temperature limit</w:t>
        <w:br/>
        <w:t xml:space="preserve">            (typically 60°C for breakers ≤100A; 75°C for &gt;100A unless specifically marked otherwise).</w:t>
      </w:r>
    </w:p>
    <w:p>
      <w:pPr>
        <w:pStyle w:val="ListBullet"/>
      </w:pPr>
      <w:r>
        <w:rPr>
          <w:b/>
        </w:rPr>
        <w:t>Color code</w:t>
      </w:r>
      <w:r>
        <w:t xml:space="preserve"> — NEC 200.6 (white = grounded), 250.119 (green = equipment</w:t>
        <w:br/>
        <w:t xml:space="preserve">            ground), 210.5 + 215.12 (ungrounded conductors identified by system voltage).</w:t>
      </w:r>
    </w:p>
    <w:p>
      <w:pPr>
        <w:pStyle w:val="ListBullet"/>
      </w:pPr>
      <w:r>
        <w:t>Maximum pull tension limit — verify manufacturer spec; typical thumb rule = 0.008 × CM (copper</w:t>
        <w:br/>
        <w:t xml:space="preserve">            single conductor). Exceeded tension damages insulation.</w:t>
      </w:r>
    </w:p>
    <w:p>
      <w:pPr>
        <w:pStyle w:val="ListBullet"/>
      </w:pPr>
      <w:r>
        <w:t>Pulling compound (lube) reduces friction by 30-60%. Match compound to insulation type</w:t>
        <w:br/>
        <w:t xml:space="preserve">            (some lubes attack XLPE).</w:t>
      </w:r>
    </w:p>
    <w:p>
      <w:pPr>
        <w:pStyle w:val="ListBullet"/>
      </w:pPr>
      <w:r>
        <w:t>Sidewall pressure limit at bends — typical 500 lb/ft for solid dielectric.</w:t>
      </w:r>
    </w:p>
    <w:p>
      <w:pPr>
        <w:pStyle w:val="ListBullet"/>
      </w:pPr>
      <w:r>
        <w:t>Tugger + sheave size — verify cable manufacturer's minimum sheave diameter.</w:t>
      </w:r>
    </w:p>
    <w:p>
      <w:pPr>
        <w:pStyle w:val="ListBullet"/>
      </w:pPr>
      <w:r>
        <w:t>Document pull tension on the Pull Log if engineering required.</w:t>
      </w:r>
    </w:p>
    <w:p>
      <w:pPr>
        <w:pStyle w:val="ListBullet"/>
      </w:pPr>
      <w:r>
        <w:t>Splices in junction boxes only — NEC 300.15 except where specifically permitted.</w:t>
      </w:r>
    </w:p>
    <w:p>
      <w:pPr>
        <w:pStyle w:val="ListBullet"/>
      </w:pPr>
      <w:r>
        <w:t>UL-listed connectors (wire nuts to compression lugs). Sized to conductor + listed for</w:t>
        <w:br/>
        <w:t xml:space="preserve">            material (copper-only, aluminum-only, or AL/CU).</w:t>
      </w:r>
    </w:p>
    <w:p>
      <w:pPr>
        <w:pStyle w:val="ListBullet"/>
      </w:pPr>
      <w:r>
        <w:t>Aluminum splices/terminations — anti-oxidant compound + listed AL/CU connector;</w:t>
        <w:br/>
        <w:t xml:space="preserve">            NEC 110.14 listed.</w:t>
      </w:r>
    </w:p>
    <w:p>
      <w:pPr>
        <w:pStyle w:val="ListBullet"/>
      </w:pPr>
      <w:r>
        <w:t>Compression lugs — use the manufacturer's die + check with go/no-go gauge.</w:t>
      </w:r>
    </w:p>
    <w:p>
      <w:pPr>
        <w:pStyle w:val="ListBullet"/>
      </w:pPr>
      <w:r>
        <w:t>Strip length — match the connector spec. Too long = exposed conductor; too short = poor seat.</w:t>
      </w:r>
    </w:p>
    <w:p>
      <w:pPr>
        <w:pStyle w:val="ListBullet"/>
      </w:pPr>
      <w:r>
        <w:t>Torque to manufacturer spec — NEC 110.14(D) requires torque-wrench use where specified.</w:t>
      </w:r>
    </w:p>
    <w:p>
      <w:pPr>
        <w:pStyle w:val="ListBullet"/>
      </w:pPr>
      <w:r>
        <w:t>Class 1 and Class 2 wiring may NOT share a raceway except per NEC 725.136. Most installations</w:t>
        <w:br/>
        <w:t xml:space="preserve">            keep them in separate conduits / cables.</w:t>
      </w:r>
    </w:p>
    <w:p>
      <w:pPr>
        <w:pStyle w:val="ListBullet"/>
      </w:pPr>
      <w:r>
        <w:t>Power (600V or less) vs. communications (Article 800) — minimum 2 in separation in open</w:t>
        <w:br/>
        <w:t xml:space="preserve">            spaces; physical separation in shared trays.</w:t>
      </w:r>
    </w:p>
    <w:p>
      <w:pPr>
        <w:pStyle w:val="ListBullet"/>
      </w:pPr>
      <w:r>
        <w:t>Fire alarm (Article 760) — power-limited circuits separated from non-power-limited.</w:t>
      </w:r>
    </w:p>
    <w:p>
      <w:pPr>
        <w:pStyle w:val="ListBullet"/>
      </w:pPr>
      <w:r>
        <w:t>Verify by raceway labeling (NEC 110.21(B)) + tray section labels.</w:t>
      </w:r>
    </w:p>
    <w:p>
      <w:pPr>
        <w:pStyle w:val="ListBullet"/>
      </w:pPr>
      <w:r>
        <w:t>Burial depth per Table 300.5:</w:t>
      </w:r>
    </w:p>
    <w:p>
      <w:pPr>
        <w:pStyle w:val="ListBullet"/>
      </w:pPr>
      <w:r>
        <w:t>Direct burial 0-600V: 24" (residential branch 12-18" with GFCI / metallic conduit).</w:t>
      </w:r>
    </w:p>
    <w:p>
      <w:pPr>
        <w:pStyle w:val="ListBullet"/>
      </w:pPr>
      <w:r>
        <w:t>RGS / IMC: 6" cover.</w:t>
      </w:r>
    </w:p>
    <w:p>
      <w:pPr>
        <w:pStyle w:val="ListBullet"/>
      </w:pPr>
      <w:r>
        <w:t>PVC schedule 40 / 80 (non-concrete-encased): 18" cover.</w:t>
      </w:r>
    </w:p>
    <w:p>
      <w:pPr>
        <w:pStyle w:val="ListBullet"/>
      </w:pPr>
      <w:r>
        <w:t>PVC under building slab: 18" below slab.</w:t>
      </w:r>
    </w:p>
    <w:p>
      <w:pPr>
        <w:pStyle w:val="ListBullet"/>
      </w:pPr>
      <w:r>
        <w:t>Maintain 12" separation from other underground utilities or per local code.</w:t>
      </w:r>
    </w:p>
    <w:p>
      <w:pPr>
        <w:pStyle w:val="ListBullet"/>
      </w:pPr>
      <w:r>
        <w:t>Locator tape / tracer wire required for non-metallic raceway per many AHJs.</w:t>
      </w:r>
    </w:p>
    <w:p>
      <w:pPr>
        <w:pStyle w:val="ListBullet"/>
      </w:pPr>
      <w:r>
        <w:t>Sweeps + risers — long-radius bends; protect with bollards where exposed to vehicle traffic.</w:t>
      </w:r>
    </w:p>
    <w:p>
      <w:pPr>
        <w:pStyle w:val="ListBullet"/>
      </w:pPr>
      <w:r>
        <w:t>Concrete encasement per NEC 300.50 for medium voltage; reduces required cover.</w:t>
      </w:r>
    </w:p>
    <w:p>
      <w:pPr>
        <w:pStyle w:val="ListBullet"/>
      </w:pPr>
      <w:r>
        <w:t>Test feeders + branches with insulation resistance tester (megger). Typical commercial</w:t>
        <w:br/>
        <w:t xml:space="preserve">            spec: 500 VDC for circuits ≤600V; 1000 VDC for medium voltage.</w:t>
      </w:r>
    </w:p>
    <w:p>
      <w:pPr>
        <w:pStyle w:val="ListBullet"/>
      </w:pPr>
      <w:r>
        <w:t>NETA acceptance criteria: minimum 100 MΩ at 500 VDC for solid dielectric cable in</w:t>
        <w:br/>
        <w:t xml:space="preserve">            new installation; many specs require higher.</w:t>
      </w:r>
    </w:p>
    <w:p>
      <w:pPr>
        <w:pStyle w:val="ListBullet"/>
      </w:pPr>
      <w:r>
        <w:t>Apply test for 60 seconds; record reading at 60 s. Calculate Polarization Index (10 min ÷ 1</w:t>
        <w:br/>
        <w:t xml:space="preserve">            min ratio) for critical feeders — &gt;2 considered acceptable.</w:t>
      </w:r>
    </w:p>
    <w:p>
      <w:pPr>
        <w:pStyle w:val="ListBullet"/>
      </w:pPr>
      <w:r>
        <w:t>Disconnect equipment + neutrals before testing to prevent damage to electronics.</w:t>
      </w:r>
    </w:p>
    <w:p>
      <w:pPr>
        <w:pStyle w:val="ListBullet"/>
      </w:pPr>
      <w:r>
        <w:t>Document results on the Pull + Insulation Test Log XLSX. Submit to GC + AHJ if required.</w:t>
      </w:r>
    </w:p>
    <w:p>
      <w:pPr>
        <w:pStyle w:val="ListBullet"/>
      </w:pPr>
      <w:r>
        <w:t>Any reading below the specified threshold → investigate before energizing; do not</w:t>
        <w:br/>
        <w:t xml:space="preserve">            "accept" with notation.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