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Grounding vs Bonding — Definitions</w:t>
      </w:r>
    </w:p>
    <w:p>
      <w:pPr>
        <w:pStyle w:val="ListNumber"/>
      </w:pPr>
      <w:r>
        <w:t>Grounding Electrode System (GES) — NEC 250.50-66</w:t>
      </w:r>
    </w:p>
    <w:p>
      <w:pPr>
        <w:pStyle w:val="ListNumber"/>
      </w:pPr>
      <w:r>
        <w:t>Equipment Grounding Conductor (EGC)</w:t>
      </w:r>
    </w:p>
    <w:p>
      <w:pPr>
        <w:pStyle w:val="ListNumber"/>
      </w:pPr>
      <w:r>
        <w:t>Bonding (Service + Building + Metal Piping)</w:t>
      </w:r>
    </w:p>
    <w:p>
      <w:pPr>
        <w:pStyle w:val="ListNumber"/>
      </w:pPr>
      <w:r>
        <w:t>Sizing Tables (Grounding Electrode + EGC)</w:t>
      </w:r>
    </w:p>
    <w:p>
      <w:pPr>
        <w:pStyle w:val="ListNumber"/>
      </w:pPr>
      <w:r>
        <w:t>Ground Resistance Testing (IEEE 81)</w:t>
      </w:r>
    </w:p>
    <w:p>
      <w:pPr>
        <w:pStyle w:val="ListNumber"/>
      </w:pPr>
      <w:r>
        <w:t>Connection Methods</w:t>
      </w:r>
    </w:p>
    <w:p>
      <w:pPr>
        <w:pStyle w:val="ListNumber"/>
      </w:pPr>
      <w:r>
        <w:t>Special Locations (Healthcare / Pool / Solar)</w:t>
      </w:r>
    </w:p>
    <w:p>
      <w:pPr>
        <w:pStyle w:val="ListNumber"/>
      </w:pPr>
      <w:r>
        <w:t>Common Errors</w:t>
      </w:r>
    </w:p>
    <w:p>
      <w:pPr>
        <w:pStyle w:val="ListNumber"/>
      </w:pPr>
      <w:r>
        <w:t>Test + Acceptance Procedures</w:t>
      </w:r>
    </w:p>
    <w:p>
      <w:pPr>
        <w:pStyle w:val="ListBullet"/>
      </w:pPr>
      <w:r>
        <w:rPr>
          <w:b/>
        </w:rPr>
        <w:t>Grounding</w:t>
      </w:r>
      <w:r>
        <w:t xml:space="preserve"> — connection to earth via grounding electrode system (rods,</w:t>
        <w:br/>
        <w:t xml:space="preserve">            plates, building steel, water pipe, etc.).</w:t>
      </w:r>
    </w:p>
    <w:p>
      <w:pPr>
        <w:pStyle w:val="ListBullet"/>
      </w:pPr>
      <w:r>
        <w:rPr>
          <w:b/>
        </w:rPr>
        <w:t>Bonding</w:t>
      </w:r>
      <w:r>
        <w:t xml:space="preserve"> — connection of metallic components to provide a low-impedance</w:t>
        <w:br/>
        <w:t xml:space="preserve">            fault-current path back to the source.</w:t>
      </w:r>
    </w:p>
    <w:p>
      <w:pPr>
        <w:pStyle w:val="ListBullet"/>
      </w:pPr>
      <w:r>
        <w:t>Grounding and bonding are TWO DIFFERENT FUNCTIONS that must both be performed properly.</w:t>
        <w:br/>
        <w:t xml:space="preserve">            Grounding establishes earth reference; bonding ensures fault clearing.</w:t>
      </w:r>
    </w:p>
    <w:p>
      <w:r>
        <w:t>NEC 250.50 requires ALL of the following present at the building to be bonded together</w:t>
        <w:br/>
        <w:t xml:space="preserve">    into the GES:</w:t>
      </w:r>
    </w:p>
    <w:p>
      <w:pPr>
        <w:pStyle w:val="ListBullet"/>
      </w:pPr>
      <w:r>
        <w:rPr>
          <w:b/>
        </w:rPr>
        <w:t>Metal underground water pipe</w:t>
      </w:r>
      <w:r>
        <w:t xml:space="preserve"> in direct contact with earth ≥10 ft (250.52(A)(1)).</w:t>
      </w:r>
    </w:p>
    <w:p>
      <w:pPr>
        <w:pStyle w:val="ListBullet"/>
      </w:pPr>
      <w:r>
        <w:rPr>
          <w:b/>
        </w:rPr>
        <w:t>Metal in-ground support structure</w:t>
      </w:r>
      <w:r>
        <w:t xml:space="preserve"> (concrete-encased rebar / Ufer) — 250.52(A)(3).</w:t>
      </w:r>
    </w:p>
    <w:p>
      <w:pPr>
        <w:pStyle w:val="ListBullet"/>
      </w:pPr>
      <w:r>
        <w:rPr>
          <w:b/>
        </w:rPr>
        <w:t>Concrete-encased electrode (Ufer)</w:t>
      </w:r>
      <w:r>
        <w:t xml:space="preserve"> — minimum 20 ft of #4 AWG bare copper</w:t>
        <w:br/>
        <w:t xml:space="preserve">            OR 1/2" rebar in foundation footing, in direct contact with earth.</w:t>
      </w:r>
    </w:p>
    <w:p>
      <w:pPr>
        <w:pStyle w:val="ListBullet"/>
      </w:pPr>
      <w:r>
        <w:rPr>
          <w:b/>
        </w:rPr>
        <w:t>Ground ring</w:t>
      </w:r>
      <w:r>
        <w:t xml:space="preserve"> — at least 20 ft of #2 AWG bare copper buried at least 30" deep.</w:t>
      </w:r>
    </w:p>
    <w:p>
      <w:pPr>
        <w:pStyle w:val="ListBullet"/>
      </w:pPr>
      <w:r>
        <w:rPr>
          <w:b/>
        </w:rPr>
        <w:t>Rod / pipe electrode</w:t>
      </w:r>
      <w:r>
        <w:t xml:space="preserve"> — 5/8" × 8 ft min, driven full length, 6" max above ground.</w:t>
      </w:r>
    </w:p>
    <w:p>
      <w:pPr>
        <w:pStyle w:val="ListBullet"/>
      </w:pPr>
      <w:r>
        <w:rPr>
          <w:b/>
        </w:rPr>
        <w:t>Plate electrode</w:t>
      </w:r>
      <w:r>
        <w:t xml:space="preserve"> — at least 2 sq ft surface area.</w:t>
      </w:r>
    </w:p>
    <w:p>
      <w:pPr>
        <w:pStyle w:val="ListBullet"/>
      </w:pPr>
      <w:r>
        <w:rPr>
          <w:b/>
        </w:rPr>
        <w:t>Other listed local metal underground systems</w:t>
      </w:r>
      <w:r>
        <w:t>.</w:t>
      </w:r>
    </w:p>
    <w:p>
      <w:r>
        <w:t>NEC 250.118 lists acceptable EGCs:</w:t>
      </w:r>
    </w:p>
    <w:p>
      <w:pPr>
        <w:pStyle w:val="ListBullet"/>
      </w:pPr>
      <w:r>
        <w:t>Copper / aluminum conductor in conduit.</w:t>
      </w:r>
    </w:p>
    <w:p>
      <w:pPr>
        <w:pStyle w:val="ListBullet"/>
      </w:pPr>
      <w:r>
        <w:t>RMC, IMC, EMT (where listed as EGC).</w:t>
      </w:r>
    </w:p>
    <w:p>
      <w:pPr>
        <w:pStyle w:val="ListBullet"/>
      </w:pPr>
      <w:r>
        <w:t>MC cable (with metal sheath listed as EGC) or AC cable.</w:t>
      </w:r>
    </w:p>
    <w:p>
      <w:pPr>
        <w:pStyle w:val="ListBullet"/>
      </w:pPr>
      <w:r>
        <w:t>Type AC armored cable (with proper bonding strip).</w:t>
      </w:r>
    </w:p>
    <w:p>
      <w:pPr>
        <w:pStyle w:val="ListBullet"/>
      </w:pPr>
      <w:r>
        <w:t>Flex / liquid-tight only with length limits + separate EGC if longer than spec.</w:t>
      </w:r>
    </w:p>
    <w:p>
      <w:r>
        <w:t>NEC 250.122 sizes the EGC based on circuit ampacity. Larger feeder → larger EGC.</w:t>
      </w:r>
    </w:p>
    <w:p>
      <w:pPr>
        <w:pStyle w:val="ListBullet"/>
      </w:pPr>
      <w:r>
        <w:rPr>
          <w:b/>
        </w:rPr>
        <w:t>Service bonding</w:t>
      </w:r>
      <w:r>
        <w:t xml:space="preserve"> — main bonding jumper connects grounded conductor (neutral)</w:t>
        <w:br/>
        <w:t xml:space="preserve">            to grounding electrode + equipment grounding bus AT THE SERVICE only. NEC 250.24.</w:t>
      </w:r>
    </w:p>
    <w:p>
      <w:pPr>
        <w:pStyle w:val="ListBullet"/>
      </w:pPr>
      <w:r>
        <w:rPr>
          <w:b/>
        </w:rPr>
        <w:t>Separately derived systems</w:t>
      </w:r>
      <w:r>
        <w:t xml:space="preserve"> — generators, transformers — system bonding</w:t>
        <w:br/>
        <w:t xml:space="preserve">            jumper at the source side. NEC 250.30.</w:t>
      </w:r>
    </w:p>
    <w:p>
      <w:pPr>
        <w:pStyle w:val="ListBullet"/>
      </w:pPr>
      <w:r>
        <w:rPr>
          <w:b/>
        </w:rPr>
        <w:t>Metal water piping</w:t>
      </w:r>
      <w:r>
        <w:t xml:space="preserve"> — bonded per NEC 250.104(A): water pipe within 5 ft</w:t>
        <w:br/>
        <w:t xml:space="preserve">            of entry must be bonded; sizing per 250.66.</w:t>
      </w:r>
    </w:p>
    <w:p>
      <w:pPr>
        <w:pStyle w:val="ListBullet"/>
      </w:pPr>
      <w:r>
        <w:rPr>
          <w:b/>
        </w:rPr>
        <w:t>Metal gas piping</w:t>
      </w:r>
      <w:r>
        <w:t xml:space="preserve"> — bonded per NEC 250.104(B). CSST manufacturer may require</w:t>
        <w:br/>
        <w:t xml:space="preserve">            additional bonding for lightning protection — verify per CSST listing.</w:t>
      </w:r>
    </w:p>
    <w:p>
      <w:pPr>
        <w:pStyle w:val="ListBullet"/>
      </w:pPr>
      <w:r>
        <w:rPr>
          <w:b/>
        </w:rPr>
        <w:t>Metal building structure</w:t>
      </w:r>
      <w:r>
        <w:t xml:space="preserve"> — bonded per NEC 250.104(C) for buildings supplied</w:t>
        <w:br/>
        <w:t xml:space="preserve">            by feeder or branch circuit.</w:t>
      </w:r>
    </w:p>
    <w:p>
      <w:pPr>
        <w:pStyle w:val="ListBullet"/>
      </w:pPr>
      <w:r>
        <w:rPr>
          <w:b/>
        </w:rPr>
        <w:t>Pools + spas</w:t>
      </w:r>
      <w:r>
        <w:t xml:space="preserve"> — equipotential bonding per Article 680.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Largest ungrounded service-entrance conductor / equivalent for parallel sets</w:t>
            </w:r>
          </w:p>
        </w:tc>
        <w:tc>
          <w:tcPr>
            <w:tcW w:type="dxa" w:w="2880"/>
          </w:tcPr>
          <w:p>
            <w:r>
              <w:t>Copper GEC</w:t>
            </w:r>
          </w:p>
        </w:tc>
        <w:tc>
          <w:tcPr>
            <w:tcW w:type="dxa" w:w="2880"/>
          </w:tcPr>
          <w:p>
            <w:r>
              <w:t>Aluminum GEC</w:t>
            </w:r>
          </w:p>
        </w:tc>
      </w:tr>
      <w:tr>
        <w:tc>
          <w:tcPr>
            <w:tcW w:type="dxa" w:w="2880"/>
          </w:tcPr>
          <w:p>
            <w:r>
              <w:t>2 AWG or smaller</w:t>
            </w:r>
          </w:p>
        </w:tc>
        <w:tc>
          <w:tcPr>
            <w:tcW w:type="dxa" w:w="2880"/>
          </w:tcPr>
          <w:p>
            <w:r>
              <w:t>8 AWG</w:t>
            </w:r>
          </w:p>
        </w:tc>
        <w:tc>
          <w:tcPr>
            <w:tcW w:type="dxa" w:w="2880"/>
          </w:tcPr>
          <w:p>
            <w:r>
              <w:t>6 AWG</w:t>
            </w:r>
          </w:p>
        </w:tc>
      </w:tr>
      <w:tr>
        <w:tc>
          <w:tcPr>
            <w:tcW w:type="dxa" w:w="2880"/>
          </w:tcPr>
          <w:p>
            <w:r>
              <w:t>1 AWG or 1/0</w:t>
            </w:r>
          </w:p>
        </w:tc>
        <w:tc>
          <w:tcPr>
            <w:tcW w:type="dxa" w:w="2880"/>
          </w:tcPr>
          <w:p>
            <w:r>
              <w:t>6 AWG</w:t>
            </w:r>
          </w:p>
        </w:tc>
        <w:tc>
          <w:tcPr>
            <w:tcW w:type="dxa" w:w="2880"/>
          </w:tcPr>
          <w:p>
            <w:r>
              <w:t>4 AWG</w:t>
            </w:r>
          </w:p>
        </w:tc>
      </w:tr>
      <w:tr>
        <w:tc>
          <w:tcPr>
            <w:tcW w:type="dxa" w:w="2880"/>
          </w:tcPr>
          <w:p>
            <w:r>
              <w:t>2/0 or 3/0</w:t>
            </w:r>
          </w:p>
        </w:tc>
        <w:tc>
          <w:tcPr>
            <w:tcW w:type="dxa" w:w="2880"/>
          </w:tcPr>
          <w:p>
            <w:r>
              <w:t>4 AWG</w:t>
            </w:r>
          </w:p>
        </w:tc>
        <w:tc>
          <w:tcPr>
            <w:tcW w:type="dxa" w:w="2880"/>
          </w:tcPr>
          <w:p>
            <w:r>
              <w:t>2 AWG</w:t>
            </w:r>
          </w:p>
        </w:tc>
      </w:tr>
      <w:tr>
        <w:tc>
          <w:tcPr>
            <w:tcW w:type="dxa" w:w="2880"/>
          </w:tcPr>
          <w:p>
            <w:r>
              <w:t>Over 3/0 through 350 kcmil</w:t>
            </w:r>
          </w:p>
        </w:tc>
        <w:tc>
          <w:tcPr>
            <w:tcW w:type="dxa" w:w="2880"/>
          </w:tcPr>
          <w:p>
            <w:r>
              <w:t>2 AWG</w:t>
            </w:r>
          </w:p>
        </w:tc>
        <w:tc>
          <w:tcPr>
            <w:tcW w:type="dxa" w:w="2880"/>
          </w:tcPr>
          <w:p>
            <w:r>
              <w:t>1/0 AWG</w:t>
            </w:r>
          </w:p>
        </w:tc>
      </w:tr>
      <w:tr>
        <w:tc>
          <w:tcPr>
            <w:tcW w:type="dxa" w:w="2880"/>
          </w:tcPr>
          <w:p>
            <w:r>
              <w:t>Over 350 through 600 kcmil</w:t>
            </w:r>
          </w:p>
        </w:tc>
        <w:tc>
          <w:tcPr>
            <w:tcW w:type="dxa" w:w="2880"/>
          </w:tcPr>
          <w:p>
            <w:r>
              <w:t>1/0 AWG</w:t>
            </w:r>
          </w:p>
        </w:tc>
        <w:tc>
          <w:tcPr>
            <w:tcW w:type="dxa" w:w="2880"/>
          </w:tcPr>
          <w:p>
            <w:r>
              <w:t>3/0 AWG</w:t>
            </w:r>
          </w:p>
        </w:tc>
      </w:tr>
      <w:tr>
        <w:tc>
          <w:tcPr>
            <w:tcW w:type="dxa" w:w="2880"/>
          </w:tcPr>
          <w:p>
            <w:r>
              <w:t>Over 600 through 1100 kcmil</w:t>
            </w:r>
          </w:p>
        </w:tc>
        <w:tc>
          <w:tcPr>
            <w:tcW w:type="dxa" w:w="2880"/>
          </w:tcPr>
          <w:p>
            <w:r>
              <w:t>2/0 AWG</w:t>
            </w:r>
          </w:p>
        </w:tc>
        <w:tc>
          <w:tcPr>
            <w:tcW w:type="dxa" w:w="2880"/>
          </w:tcPr>
          <w:p>
            <w:r>
              <w:t>4/0 AWG</w:t>
            </w:r>
          </w:p>
        </w:tc>
      </w:tr>
      <w:tr>
        <w:tc>
          <w:tcPr>
            <w:tcW w:type="dxa" w:w="2880"/>
          </w:tcPr>
          <w:p>
            <w:r>
              <w:t>Over 1100 kcmil</w:t>
            </w:r>
          </w:p>
        </w:tc>
        <w:tc>
          <w:tcPr>
            <w:tcW w:type="dxa" w:w="2880"/>
          </w:tcPr>
          <w:p>
            <w:r>
              <w:t>3/0 AWG</w:t>
            </w:r>
          </w:p>
        </w:tc>
        <w:tc>
          <w:tcPr>
            <w:tcW w:type="dxa" w:w="2880"/>
          </w:tcPr>
          <w:p>
            <w:r>
              <w:t>250 kcmil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 of OCPD (A)</w:t>
            </w:r>
          </w:p>
        </w:tc>
        <w:tc>
          <w:tcPr>
            <w:tcW w:type="dxa" w:w="2880"/>
          </w:tcPr>
          <w:p>
            <w:r>
              <w:t>Copper EGC</w:t>
            </w:r>
          </w:p>
        </w:tc>
        <w:tc>
          <w:tcPr>
            <w:tcW w:type="dxa" w:w="2880"/>
          </w:tcPr>
          <w:p>
            <w:r>
              <w:t>Aluminum EGC</w:t>
            </w:r>
          </w:p>
        </w:tc>
      </w:tr>
      <w:tr>
        <w:tc>
          <w:tcPr>
            <w:tcW w:type="dxa" w:w="2880"/>
          </w:tcPr>
          <w:p>
            <w:r>
              <w:t>15 A</w:t>
            </w:r>
          </w:p>
        </w:tc>
        <w:tc>
          <w:tcPr>
            <w:tcW w:type="dxa" w:w="2880"/>
          </w:tcPr>
          <w:p>
            <w:r>
              <w:t>14 AWG</w:t>
            </w:r>
          </w:p>
        </w:tc>
        <w:tc>
          <w:tcPr>
            <w:tcW w:type="dxa" w:w="2880"/>
          </w:tcPr>
          <w:p>
            <w:r>
              <w:t>12 AWG</w:t>
            </w:r>
          </w:p>
        </w:tc>
      </w:tr>
      <w:tr>
        <w:tc>
          <w:tcPr>
            <w:tcW w:type="dxa" w:w="2880"/>
          </w:tcPr>
          <w:p>
            <w:r>
              <w:t>20 A</w:t>
            </w:r>
          </w:p>
        </w:tc>
        <w:tc>
          <w:tcPr>
            <w:tcW w:type="dxa" w:w="2880"/>
          </w:tcPr>
          <w:p>
            <w:r>
              <w:t>12 AWG</w:t>
            </w:r>
          </w:p>
        </w:tc>
        <w:tc>
          <w:tcPr>
            <w:tcW w:type="dxa" w:w="2880"/>
          </w:tcPr>
          <w:p>
            <w:r>
              <w:t>10 AWG</w:t>
            </w:r>
          </w:p>
        </w:tc>
      </w:tr>
      <w:tr>
        <w:tc>
          <w:tcPr>
            <w:tcW w:type="dxa" w:w="2880"/>
          </w:tcPr>
          <w:p>
            <w:r>
              <w:t>60 A</w:t>
            </w:r>
          </w:p>
        </w:tc>
        <w:tc>
          <w:tcPr>
            <w:tcW w:type="dxa" w:w="2880"/>
          </w:tcPr>
          <w:p>
            <w:r>
              <w:t>10 AWG</w:t>
            </w:r>
          </w:p>
        </w:tc>
        <w:tc>
          <w:tcPr>
            <w:tcW w:type="dxa" w:w="2880"/>
          </w:tcPr>
          <w:p>
            <w:r>
              <w:t>8 AWG</w:t>
            </w:r>
          </w:p>
        </w:tc>
      </w:tr>
      <w:tr>
        <w:tc>
          <w:tcPr>
            <w:tcW w:type="dxa" w:w="2880"/>
          </w:tcPr>
          <w:p>
            <w:r>
              <w:t>100 A</w:t>
            </w:r>
          </w:p>
        </w:tc>
        <w:tc>
          <w:tcPr>
            <w:tcW w:type="dxa" w:w="2880"/>
          </w:tcPr>
          <w:p>
            <w:r>
              <w:t>8 AWG</w:t>
            </w:r>
          </w:p>
        </w:tc>
        <w:tc>
          <w:tcPr>
            <w:tcW w:type="dxa" w:w="2880"/>
          </w:tcPr>
          <w:p>
            <w:r>
              <w:t>6 AWG</w:t>
            </w:r>
          </w:p>
        </w:tc>
      </w:tr>
      <w:tr>
        <w:tc>
          <w:tcPr>
            <w:tcW w:type="dxa" w:w="2880"/>
          </w:tcPr>
          <w:p>
            <w:r>
              <w:t>200 A</w:t>
            </w:r>
          </w:p>
        </w:tc>
        <w:tc>
          <w:tcPr>
            <w:tcW w:type="dxa" w:w="2880"/>
          </w:tcPr>
          <w:p>
            <w:r>
              <w:t>6 AWG</w:t>
            </w:r>
          </w:p>
        </w:tc>
        <w:tc>
          <w:tcPr>
            <w:tcW w:type="dxa" w:w="2880"/>
          </w:tcPr>
          <w:p>
            <w:r>
              <w:t>4 AWG</w:t>
            </w:r>
          </w:p>
        </w:tc>
      </w:tr>
      <w:tr>
        <w:tc>
          <w:tcPr>
            <w:tcW w:type="dxa" w:w="2880"/>
          </w:tcPr>
          <w:p>
            <w:r>
              <w:t>400 A</w:t>
            </w:r>
          </w:p>
        </w:tc>
        <w:tc>
          <w:tcPr>
            <w:tcW w:type="dxa" w:w="2880"/>
          </w:tcPr>
          <w:p>
            <w:r>
              <w:t>3 AWG</w:t>
            </w:r>
          </w:p>
        </w:tc>
        <w:tc>
          <w:tcPr>
            <w:tcW w:type="dxa" w:w="2880"/>
          </w:tcPr>
          <w:p>
            <w:r>
              <w:t>1 AWG</w:t>
            </w:r>
          </w:p>
        </w:tc>
      </w:tr>
      <w:tr>
        <w:tc>
          <w:tcPr>
            <w:tcW w:type="dxa" w:w="2880"/>
          </w:tcPr>
          <w:p>
            <w:r>
              <w:t>600 A</w:t>
            </w:r>
          </w:p>
        </w:tc>
        <w:tc>
          <w:tcPr>
            <w:tcW w:type="dxa" w:w="2880"/>
          </w:tcPr>
          <w:p>
            <w:r>
              <w:t>1 AWG</w:t>
            </w:r>
          </w:p>
        </w:tc>
        <w:tc>
          <w:tcPr>
            <w:tcW w:type="dxa" w:w="2880"/>
          </w:tcPr>
          <w:p>
            <w:r>
              <w:t>2/0 AWG</w:t>
            </w:r>
          </w:p>
        </w:tc>
      </w:tr>
      <w:tr>
        <w:tc>
          <w:tcPr>
            <w:tcW w:type="dxa" w:w="2880"/>
          </w:tcPr>
          <w:p>
            <w:r>
              <w:t>1200 A</w:t>
            </w:r>
          </w:p>
        </w:tc>
        <w:tc>
          <w:tcPr>
            <w:tcW w:type="dxa" w:w="2880"/>
          </w:tcPr>
          <w:p>
            <w:r>
              <w:t>3/0 AWG</w:t>
            </w:r>
          </w:p>
        </w:tc>
        <w:tc>
          <w:tcPr>
            <w:tcW w:type="dxa" w:w="2880"/>
          </w:tcPr>
          <w:p>
            <w:r>
              <w:t>250 kcmil</w:t>
            </w:r>
          </w:p>
        </w:tc>
      </w:tr>
    </w:tbl>
    <w:p>
      <w:pPr>
        <w:pStyle w:val="ListBullet"/>
      </w:pPr>
      <w:r>
        <w:rPr>
          <w:b/>
        </w:rPr>
        <w:t>3-point fall-of-potential</w:t>
      </w:r>
      <w:r>
        <w:t xml:space="preserve"> — gold standard for new installations.</w:t>
        <w:br/>
        <w:t xml:space="preserve">            Drive auxiliary electrodes; measure resistance at 62% spacing.</w:t>
      </w:r>
    </w:p>
    <w:p>
      <w:pPr>
        <w:pStyle w:val="ListBullet"/>
      </w:pPr>
      <w:r>
        <w:rPr>
          <w:b/>
        </w:rPr>
        <w:t>Clamp-on</w:t>
      </w:r>
      <w:r>
        <w:t xml:space="preserve"> — non-invasive but only valid where multiple ground paths form</w:t>
        <w:br/>
        <w:t xml:space="preserve">            a loop. Useful for follow-up but not the initial acceptance.</w:t>
      </w:r>
    </w:p>
    <w:p>
      <w:pPr>
        <w:pStyle w:val="ListBullet"/>
      </w:pPr>
      <w:r>
        <w:rPr>
          <w:b/>
        </w:rPr>
        <w:t>Soil resistivity</w:t>
      </w:r>
      <w:r>
        <w:t xml:space="preserve"> — Wenner 4-point method when designing the GES for</w:t>
        <w:br/>
        <w:t xml:space="preserve">            critical loads (data centers, hospitals).</w:t>
      </w:r>
    </w:p>
    <w:p>
      <w:pPr>
        <w:pStyle w:val="ListBullet"/>
      </w:pPr>
      <w:r>
        <w:t>NEC 250.53(A)(2) single-rod threshold: ≤25Ω OR drive a second electrode.</w:t>
      </w:r>
    </w:p>
    <w:p>
      <w:pPr>
        <w:pStyle w:val="ListBullet"/>
      </w:pPr>
      <w:r>
        <w:t>Critical installations may spec ≤5Ω or ≤3Ω — verify spec.</w:t>
      </w:r>
    </w:p>
    <w:p>
      <w:pPr>
        <w:pStyle w:val="ListBullet"/>
      </w:pPr>
      <w:r>
        <w:t>Document on Ground Resistance Test Log XLSX.</w:t>
      </w:r>
    </w:p>
    <w:p>
      <w:pPr>
        <w:pStyle w:val="ListBullet"/>
      </w:pPr>
      <w:r>
        <w:rPr>
          <w:b/>
        </w:rPr>
        <w:t>Acorn clamp</w:t>
      </w:r>
      <w:r>
        <w:t xml:space="preserve"> — for ground rod to bare copper. Listed for direct burial</w:t>
        <w:br/>
        <w:t xml:space="preserve">            (250.70). One ground rod connection per clamp typically.</w:t>
      </w:r>
    </w:p>
    <w:p>
      <w:pPr>
        <w:pStyle w:val="ListBullet"/>
      </w:pPr>
      <w:r>
        <w:rPr>
          <w:b/>
        </w:rPr>
        <w:t>Compression connector</w:t>
      </w:r>
      <w:r>
        <w:t xml:space="preserve"> — for cable-to-rebar / cable-to-cable.</w:t>
        <w:br/>
        <w:t xml:space="preserve">            Listed for application.</w:t>
      </w:r>
    </w:p>
    <w:p>
      <w:pPr>
        <w:pStyle w:val="ListBullet"/>
      </w:pPr>
      <w:r>
        <w:rPr>
          <w:b/>
        </w:rPr>
        <w:t>Exothermic weld (Cad-weld)</w:t>
      </w:r>
      <w:r>
        <w:t xml:space="preserve"> — permanent connection. Required by many</w:t>
        <w:br/>
        <w:t xml:space="preserve">            specs for grounding electrode connections in critical installations.</w:t>
      </w:r>
    </w:p>
    <w:p>
      <w:pPr>
        <w:pStyle w:val="ListBullet"/>
      </w:pPr>
      <w:r>
        <w:rPr>
          <w:b/>
        </w:rPr>
        <w:t>Bus connections</w:t>
      </w:r>
      <w:r>
        <w:t xml:space="preserve"> — proper torque to mfr specs. Anti-oxidant compound on</w:t>
        <w:br/>
        <w:t xml:space="preserve">            aluminum connections.</w:t>
      </w:r>
    </w:p>
    <w:p>
      <w:pPr>
        <w:pStyle w:val="ListBullet"/>
      </w:pPr>
      <w:r>
        <w:t>All connections accessible per 250.68 except direct-buried, encased, or otherwise</w:t>
        <w:br/>
        <w:t xml:space="preserve">            permitted.</w:t>
      </w:r>
    </w:p>
    <w:p>
      <w:pPr>
        <w:pStyle w:val="ListBullet"/>
      </w:pPr>
      <w:r>
        <w:rPr>
          <w:b/>
        </w:rPr>
        <w:t>Healthcare</w:t>
      </w:r>
      <w:r>
        <w:t xml:space="preserve"> (Article 517) — patient-care areas have additional bonding requirements.</w:t>
        <w:br/>
        <w:t xml:space="preserve">            Operating rooms + critical-care areas require redundant equipment grounding.</w:t>
      </w:r>
    </w:p>
    <w:p>
      <w:pPr>
        <w:pStyle w:val="ListBullet"/>
      </w:pPr>
      <w:r>
        <w:rPr>
          <w:b/>
        </w:rPr>
        <w:t>Pools + Spas</w:t>
      </w:r>
      <w:r>
        <w:t xml:space="preserve"> (Article 680) — equipotential bonding grid bonds all metallic</w:t>
        <w:br/>
        <w:t xml:space="preserve">            components within 5 ft horizontally + 12 ft vertically of pool perimeter.</w:t>
      </w:r>
    </w:p>
    <w:p>
      <w:pPr>
        <w:pStyle w:val="ListBullet"/>
      </w:pPr>
      <w:r>
        <w:rPr>
          <w:b/>
        </w:rPr>
        <w:t>Solar PV</w:t>
      </w:r>
      <w:r>
        <w:t xml:space="preserve"> (Article 690) — DC + AC equipment grounding; metal frames bonded;</w:t>
        <w:br/>
        <w:t xml:space="preserve">            specific listed grounding hardware.</w:t>
      </w:r>
    </w:p>
    <w:p>
      <w:pPr>
        <w:pStyle w:val="ListBullet"/>
      </w:pPr>
      <w:r>
        <w:rPr>
          <w:b/>
        </w:rPr>
        <w:t>Generators</w:t>
      </w:r>
      <w:r>
        <w:t xml:space="preserve"> (Article 445) — bonding of generator frame; system bonding jumper</w:t>
        <w:br/>
        <w:t xml:space="preserve">            location depends on whether separately derived.</w:t>
      </w:r>
    </w:p>
    <w:p>
      <w:pPr>
        <w:pStyle w:val="ListBullet"/>
      </w:pPr>
      <w:r>
        <w:rPr>
          <w:b/>
        </w:rPr>
        <w:t>Hazardous locations</w:t>
      </w:r>
      <w:r>
        <w:t xml:space="preserve"> (Articles 500-516) — explosion-proof bonding fittings;</w:t>
        <w:br/>
        <w:t xml:space="preserve">            no flex bonded through bushings only.</w:t>
      </w:r>
    </w:p>
    <w:p>
      <w:pPr>
        <w:pStyle w:val="ListNumber"/>
      </w:pPr>
      <w:r>
        <w:t>Single ground rod with no resistance test (NEC 250.53 violation).</w:t>
      </w:r>
    </w:p>
    <w:p>
      <w:pPr>
        <w:pStyle w:val="ListNumber"/>
      </w:pPr>
      <w:r>
        <w:t>Main bonding jumper omitted at service.</w:t>
      </w:r>
    </w:p>
    <w:p>
      <w:pPr>
        <w:pStyle w:val="ListNumber"/>
      </w:pPr>
      <w:r>
        <w:t>Separately-derived system bonded at downstream panel instead of at the source.</w:t>
      </w:r>
    </w:p>
    <w:p>
      <w:pPr>
        <w:pStyle w:val="ListNumber"/>
      </w:pPr>
      <w:r>
        <w:t>Water pipe bonding tap &gt; 5 ft from entry.</w:t>
      </w:r>
    </w:p>
    <w:p>
      <w:pPr>
        <w:pStyle w:val="ListNumber"/>
      </w:pPr>
      <w:r>
        <w:t>EGC undersized for branch / feeder OCPD (Table 250.122 missed).</w:t>
      </w:r>
    </w:p>
    <w:p>
      <w:pPr>
        <w:pStyle w:val="ListNumber"/>
      </w:pPr>
      <w:r>
        <w:t>Aluminum EGC at termination without anti-oxidant + torque verification.</w:t>
      </w:r>
    </w:p>
    <w:p>
      <w:pPr>
        <w:pStyle w:val="ListNumber"/>
      </w:pPr>
      <w:r>
        <w:t>Flex used as EGC beyond length / size allowance (250.118).</w:t>
      </w:r>
    </w:p>
    <w:p>
      <w:pPr>
        <w:pStyle w:val="ListNumber"/>
      </w:pPr>
      <w:r>
        <w:t>Metal water pipe used as sole grounding electrode (NEC 250.52 requires additional electrode).</w:t>
      </w:r>
    </w:p>
    <w:p>
      <w:pPr>
        <w:pStyle w:val="ListNumber"/>
      </w:pPr>
      <w:r>
        <w:t>Concrete-encased electrode (Ufer) omitted on new construction with rebar foundation.</w:t>
      </w:r>
    </w:p>
    <w:p>
      <w:pPr>
        <w:pStyle w:val="ListNumber"/>
      </w:pPr>
      <w:r>
        <w:t>Ground bus connections not torqued per spec.</w:t>
      </w:r>
    </w:p>
    <w:p>
      <w:pPr>
        <w:pStyle w:val="ListBullet"/>
      </w:pPr>
      <w:r>
        <w:t>Visual inspection — every connection accessible, properly torqued, oxidation-free,</w:t>
        <w:br/>
        <w:t xml:space="preserve">            UL-listed components.</w:t>
      </w:r>
    </w:p>
    <w:p>
      <w:pPr>
        <w:pStyle w:val="ListBullet"/>
      </w:pPr>
      <w:r>
        <w:t>Continuity test — every EGC + GEC to its termination.</w:t>
      </w:r>
    </w:p>
    <w:p>
      <w:pPr>
        <w:pStyle w:val="ListBullet"/>
      </w:pPr>
      <w:r>
        <w:t>3-point fall-of-potential ground resistance test — record values; submit to AHJ.</w:t>
      </w:r>
    </w:p>
    <w:p>
      <w:pPr>
        <w:pStyle w:val="ListBullet"/>
      </w:pPr>
      <w:r>
        <w:t>Compare against spec / NEC 250.53.</w:t>
      </w:r>
    </w:p>
    <w:p>
      <w:pPr>
        <w:pStyle w:val="ListBullet"/>
      </w:pPr>
      <w:r>
        <w:t>Document on Ground Resistance Test Log XLSX with date, tester, equipment serial,</w:t>
        <w:br/>
        <w:t xml:space="preserve">            and result.</w:t>
      </w:r>
    </w:p>
    <w:p>
      <w:pPr>
        <w:pStyle w:val="ListBullet"/>
      </w:pPr>
      <w:r>
        <w:t>Photograph each grounding electrode + connection before backfill / encasement.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