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EPA 608 Certification Levels</w:t>
      </w:r>
    </w:p>
    <w:p>
      <w:pPr>
        <w:pStyle w:val="ListNumber"/>
      </w:pPr>
      <w:r>
        <w:t>Refrigerant Classifications (ASHRAE 34)</w:t>
      </w:r>
    </w:p>
    <w:p>
      <w:pPr>
        <w:pStyle w:val="ListNumber"/>
      </w:pPr>
      <w:r>
        <w:t>Recovery + Recycling + Reclaim</w:t>
      </w:r>
    </w:p>
    <w:p>
      <w:pPr>
        <w:pStyle w:val="ListNumber"/>
      </w:pPr>
      <w:r>
        <w:t>Leak Detection + Repair Requirements</w:t>
      </w:r>
    </w:p>
    <w:p>
      <w:pPr>
        <w:pStyle w:val="ListNumber"/>
      </w:pPr>
      <w:r>
        <w:t>ASHRAE 15 Machinery Room Requirements</w:t>
      </w:r>
    </w:p>
    <w:p>
      <w:pPr>
        <w:pStyle w:val="ListNumber"/>
      </w:pPr>
      <w:r>
        <w:t>A2L Refrigerant Protocols</w:t>
      </w:r>
    </w:p>
    <w:p>
      <w:pPr>
        <w:pStyle w:val="ListNumber"/>
      </w:pPr>
      <w:r>
        <w:t>Brazing Under Nitrogen — Step-by-Step</w:t>
      </w:r>
    </w:p>
    <w:p>
      <w:pPr>
        <w:pStyle w:val="ListNumber"/>
      </w:pPr>
      <w:r>
        <w:t>Hot Work Permit + Fire Watch</w:t>
      </w:r>
    </w:p>
    <w:p>
      <w:pPr>
        <w:pStyle w:val="ListNumber"/>
      </w:pPr>
      <w:r>
        <w:t>Hose + Cylinder Handling</w:t>
      </w:r>
    </w:p>
    <w:p>
      <w:pPr>
        <w:pStyle w:val="ListNumber"/>
      </w:pPr>
      <w:r>
        <w:t>Documentation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Type I</w:t>
            </w:r>
          </w:p>
        </w:tc>
        <w:tc>
          <w:tcPr>
            <w:tcW w:type="dxa" w:w="2880"/>
          </w:tcPr>
          <w:p>
            <w:r>
              <w:t>Small appliance (≤5 lb refrigerant) servicing</w:t>
            </w:r>
          </w:p>
        </w:tc>
        <w:tc>
          <w:tcPr>
            <w:tcW w:type="dxa" w:w="2880"/>
          </w:tcPr>
          <w:p>
            <w:r>
              <w:t>Domestic refrigerator, vending machine</w:t>
            </w:r>
          </w:p>
        </w:tc>
      </w:tr>
      <w:tr>
        <w:tc>
          <w:tcPr>
            <w:tcW w:type="dxa" w:w="2880"/>
          </w:tcPr>
          <w:p>
            <w:r>
              <w:t>Type II</w:t>
            </w:r>
          </w:p>
        </w:tc>
        <w:tc>
          <w:tcPr>
            <w:tcW w:type="dxa" w:w="2880"/>
          </w:tcPr>
          <w:p>
            <w:r>
              <w:t>High-pressure appliance servicing</w:t>
            </w:r>
          </w:p>
        </w:tc>
        <w:tc>
          <w:tcPr>
            <w:tcW w:type="dxa" w:w="2880"/>
          </w:tcPr>
          <w:p>
            <w:r>
              <w:t>Most commercial HVAC, R-410A, R-32, R-454B</w:t>
            </w:r>
          </w:p>
        </w:tc>
      </w:tr>
      <w:tr>
        <w:tc>
          <w:tcPr>
            <w:tcW w:type="dxa" w:w="2880"/>
          </w:tcPr>
          <w:p>
            <w:r>
              <w:t>Type III</w:t>
            </w:r>
          </w:p>
        </w:tc>
        <w:tc>
          <w:tcPr>
            <w:tcW w:type="dxa" w:w="2880"/>
          </w:tcPr>
          <w:p>
            <w:r>
              <w:t>Low-pressure appliance servicing</w:t>
            </w:r>
          </w:p>
        </w:tc>
        <w:tc>
          <w:tcPr>
            <w:tcW w:type="dxa" w:w="2880"/>
          </w:tcPr>
          <w:p>
            <w:r>
              <w:t>R-123 centrifugal chillers</w:t>
            </w:r>
          </w:p>
        </w:tc>
      </w:tr>
      <w:tr>
        <w:tc>
          <w:tcPr>
            <w:tcW w:type="dxa" w:w="2880"/>
          </w:tcPr>
          <w:p>
            <w:r>
              <w:t>Universal</w:t>
            </w:r>
          </w:p>
        </w:tc>
        <w:tc>
          <w:tcPr>
            <w:tcW w:type="dxa" w:w="2880"/>
          </w:tcPr>
          <w:p>
            <w:r>
              <w:t>All three above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Every technician opening a refrigerant circuit needs the appropriate certification.</w:t>
        <w:br/>
        <w:t xml:space="preserve">    Document cert + expiry on the Refrigerant Log. Disposing of refrigerant without recovery is a</w:t>
        <w:br/>
        <w:t xml:space="preserve">    Clean Air Act §608 violation — fines per incident plus possible criminal liability.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Low toxicity, no flame propagation</w:t>
            </w:r>
          </w:p>
        </w:tc>
        <w:tc>
          <w:tcPr>
            <w:tcW w:type="dxa" w:w="2880"/>
          </w:tcPr>
          <w:p>
            <w:r>
              <w:t>R-410A, R-134a, R-22 (legacy)</w:t>
            </w:r>
          </w:p>
        </w:tc>
      </w:tr>
      <w:tr>
        <w:tc>
          <w:tcPr>
            <w:tcW w:type="dxa" w:w="2880"/>
          </w:tcPr>
          <w:p>
            <w:r>
              <w:t>A2L</w:t>
            </w:r>
          </w:p>
        </w:tc>
        <w:tc>
          <w:tcPr>
            <w:tcW w:type="dxa" w:w="2880"/>
          </w:tcPr>
          <w:p>
            <w:r>
              <w:t>Low toxicity, mildly flammable (LFL &gt; 3.5%, BV &lt; 10 cm/s)</w:t>
            </w:r>
          </w:p>
        </w:tc>
        <w:tc>
          <w:tcPr>
            <w:tcW w:type="dxa" w:w="2880"/>
          </w:tcPr>
          <w:p>
            <w:r>
              <w:t>R-32, R-454B, R-1234yf, R-1234ze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Low toxicity, flammable</w:t>
            </w:r>
          </w:p>
        </w:tc>
        <w:tc>
          <w:tcPr>
            <w:tcW w:type="dxa" w:w="2880"/>
          </w:tcPr>
          <w:p>
            <w:r>
              <w:t>R-152a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Low toxicity, higher flammability</w:t>
            </w:r>
          </w:p>
        </w:tc>
        <w:tc>
          <w:tcPr>
            <w:tcW w:type="dxa" w:w="2880"/>
          </w:tcPr>
          <w:p>
            <w:r>
              <w:t>R-290 (propane), R-600a (isobutane)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Higher toxicity, no flame propagation</w:t>
            </w:r>
          </w:p>
        </w:tc>
        <w:tc>
          <w:tcPr>
            <w:tcW w:type="dxa" w:w="2880"/>
          </w:tcPr>
          <w:p>
            <w:r>
              <w:t>R-123 (low-pressure)</w:t>
            </w:r>
          </w:p>
        </w:tc>
      </w:tr>
      <w:tr>
        <w:tc>
          <w:tcPr>
            <w:tcW w:type="dxa" w:w="2880"/>
          </w:tcPr>
          <w:p>
            <w:r>
              <w:t>B2L / B2 / B3</w:t>
            </w:r>
          </w:p>
        </w:tc>
        <w:tc>
          <w:tcPr>
            <w:tcW w:type="dxa" w:w="2880"/>
          </w:tcPr>
          <w:p>
            <w:r>
              <w:t>Higher toxicity, flammable variants</w:t>
            </w:r>
          </w:p>
        </w:tc>
        <w:tc>
          <w:tcPr>
            <w:tcW w:type="dxa" w:w="2880"/>
          </w:tcPr>
          <w:p>
            <w:r>
              <w:t>R-717 (ammonia) — B2L</w:t>
            </w:r>
          </w:p>
        </w:tc>
      </w:tr>
    </w:tbl>
    <w:p>
      <w:pPr>
        <w:pStyle w:val="ListBullet"/>
      </w:pPr>
      <w:r>
        <w:rPr>
          <w:b/>
        </w:rPr>
        <w:t>Recovery</w:t>
      </w:r>
      <w:r>
        <w:t xml:space="preserve"> — remove refrigerant from a system into a DOT-rated recovery cylinder</w:t>
        <w:br/>
        <w:t xml:space="preserve">            using an EPA-certified recovery machine. EPA-required pressure levels:</w:t>
        <w:br/>
        <w:t xml:space="preserve">            </w:t>
      </w:r>
      <w:r>
        <w:br/>
        <w:t>High-pressure ≥15 hp: 10 in Hg vacuum.</w:t>
        <w:br/>
        <w:t>High-pressure &lt;15 hp: 0 psig.</w:t>
        <w:br/>
        <w:t>Low-pressure: 25 mm Hg absolute (29 in Hg vacuum).</w:t>
        <w:br/>
      </w:r>
      <w:r>
        <w:br/>
      </w:r>
    </w:p>
    <w:p>
      <w:pPr>
        <w:pStyle w:val="ListBullet"/>
      </w:pPr>
      <w:r>
        <w:rPr>
          <w:b/>
        </w:rPr>
        <w:t>Recycle</w:t>
      </w:r>
      <w:r>
        <w:t xml:space="preserve"> — clean refrigerant on site using a recycler; suitable for return to</w:t>
        <w:br/>
        <w:t xml:space="preserve">            same equipment.</w:t>
      </w:r>
    </w:p>
    <w:p>
      <w:pPr>
        <w:pStyle w:val="ListBullet"/>
      </w:pPr>
      <w:r>
        <w:rPr>
          <w:b/>
        </w:rPr>
        <w:t>Reclaim</w:t>
      </w:r>
      <w:r>
        <w:t xml:space="preserve"> — send to a certified reclamation facility; brings refrigerant to</w:t>
        <w:br/>
        <w:t xml:space="preserve">            ARI-700 purity for resale.</w:t>
      </w:r>
    </w:p>
    <w:p>
      <w:pPr>
        <w:pStyle w:val="ListBullet"/>
      </w:pPr>
      <w:r>
        <w:rPr>
          <w:b/>
        </w:rPr>
        <w:t>Cylinder labels</w:t>
      </w:r>
      <w:r>
        <w:t xml:space="preserve"> — yellow top for recovery; never refill virgin cylinders</w:t>
        <w:br/>
        <w:t xml:space="preserve">            with recovered refrigerant.</w:t>
      </w:r>
    </w:p>
    <w:p>
      <w:pPr>
        <w:pStyle w:val="ListBullet"/>
      </w:pPr>
      <w:r>
        <w:rPr>
          <w:b/>
        </w:rPr>
        <w:t>Disposal</w:t>
      </w:r>
      <w:r>
        <w:t xml:space="preserve"> — through certified reclaimer; never vent.</w:t>
      </w:r>
    </w:p>
    <w:p>
      <w:pPr>
        <w:pStyle w:val="ListBullet"/>
      </w:pPr>
      <w:r>
        <w:t>Log each recovery on the Refrigerant Log: date, equipment, lbs recovered, cylinder ID.</w:t>
      </w:r>
    </w:p>
    <w:p>
      <w:pPr>
        <w:pStyle w:val="ListBullet"/>
      </w:pPr>
      <w:r>
        <w:t>EPA Section 608 (Subpart F) requires leak repair on systems with charge ≥50 lb in commercial</w:t>
        <w:br/>
        <w:t xml:space="preserve">            applications. Annual leak rate triggers:</w:t>
        <w:br/>
        <w:t xml:space="preserve">            </w:t>
      </w:r>
      <w:r>
        <w:br/>
        <w:t>Commercial refrigeration &gt;30% annual leak → repair required.</w:t>
        <w:br/>
        <w:t>Comfort cooling &gt;10% annual leak → repair required.</w:t>
        <w:br/>
      </w:r>
      <w:r>
        <w:br/>
      </w:r>
    </w:p>
    <w:p>
      <w:pPr>
        <w:pStyle w:val="ListBullet"/>
      </w:pPr>
      <w:r>
        <w:t>Leak detection methods: electronic detector (most sensitive), bubble (soap) test, UV dye + lamp.</w:t>
      </w:r>
    </w:p>
    <w:p>
      <w:pPr>
        <w:pStyle w:val="ListBullet"/>
      </w:pPr>
      <w:r>
        <w:t>Verify repair via initial verification test (within 30 days) + follow-up (within 30 days).</w:t>
      </w:r>
    </w:p>
    <w:p>
      <w:pPr>
        <w:pStyle w:val="ListBullet"/>
      </w:pPr>
      <w:r>
        <w:t>Document each leak event + repair + verification on the Refrigerant Log.</w:t>
      </w:r>
    </w:p>
    <w:p>
      <w:pPr>
        <w:pStyle w:val="ListBullet"/>
      </w:pPr>
      <w:r>
        <w:t>Refrigerant management plan required for facilities with multiple systems.</w:t>
      </w:r>
    </w:p>
    <w:p>
      <w:r>
        <w:t>Machinery rooms housing refrigeration equipment must meet ASHRAE 15 requirements:</w:t>
      </w:r>
    </w:p>
    <w:p>
      <w:pPr>
        <w:pStyle w:val="ListBullet"/>
      </w:pPr>
      <w:r>
        <w:t>Refrigerant detection — sensor + alarm at concentration thresholds (typically 25%</w:t>
        <w:br/>
        <w:t xml:space="preserve">            of RCL or per local code).</w:t>
      </w:r>
    </w:p>
    <w:p>
      <w:pPr>
        <w:pStyle w:val="ListBullet"/>
      </w:pPr>
      <w:r>
        <w:t>Mechanical ventilation — interlocked with detector; minimum cfm per ASHRAE 15 formula.</w:t>
      </w:r>
    </w:p>
    <w:p>
      <w:pPr>
        <w:pStyle w:val="ListBullet"/>
      </w:pPr>
      <w:r>
        <w:t>Emergency stop / shut-off — readily accessible at exit door.</w:t>
      </w:r>
    </w:p>
    <w:p>
      <w:pPr>
        <w:pStyle w:val="ListBullet"/>
      </w:pPr>
      <w:r>
        <w:t>Egress — minimum two means of egress on opposite walls for rooms above threshold size.</w:t>
      </w:r>
    </w:p>
    <w:p>
      <w:pPr>
        <w:pStyle w:val="ListBullet"/>
      </w:pPr>
      <w:r>
        <w:t>Self-contained breathing apparatus (SCBA) — required outside the door for class B</w:t>
        <w:br/>
        <w:t xml:space="preserve">            refrigerants and A2L in many cases. Verify per local code.</w:t>
      </w:r>
    </w:p>
    <w:p>
      <w:pPr>
        <w:pStyle w:val="ListBullet"/>
      </w:pPr>
      <w:r>
        <w:t>Labels — refrigerant type + amount posted at room entrance.</w:t>
      </w:r>
    </w:p>
    <w:p>
      <w:pPr>
        <w:pStyle w:val="ListBullet"/>
      </w:pPr>
      <w:r>
        <w:t>LFL detection in installation areas (refrigerant-specific sensor).</w:t>
      </w:r>
    </w:p>
    <w:p>
      <w:pPr>
        <w:pStyle w:val="ListBullet"/>
      </w:pPr>
      <w:r>
        <w:t>Leak-tight commissioning + pressure test before charging.</w:t>
      </w:r>
    </w:p>
    <w:p>
      <w:pPr>
        <w:pStyle w:val="ListBullet"/>
      </w:pPr>
      <w:r>
        <w:t>Charge limits per ASHRAE 15 + IMC 2024 Section 1106 (varies by occupancy + room size).</w:t>
      </w:r>
    </w:p>
    <w:p>
      <w:pPr>
        <w:pStyle w:val="ListBullet"/>
      </w:pPr>
      <w:r>
        <w:t>NO ignition sources within the installation envelope during brazing.</w:t>
      </w:r>
    </w:p>
    <w:p>
      <w:pPr>
        <w:pStyle w:val="ListBullet"/>
      </w:pPr>
      <w:r>
        <w:t>Brazing on dedicated refrigerant lines OK with proper nitrogen purge + post-braze leak test.</w:t>
      </w:r>
    </w:p>
    <w:p>
      <w:pPr>
        <w:pStyle w:val="ListBullet"/>
      </w:pPr>
      <w:r>
        <w:t>Training documentation — every tech touching A2L systems trained + competency-tested.</w:t>
      </w:r>
    </w:p>
    <w:p>
      <w:pPr>
        <w:pStyle w:val="ListNumber"/>
      </w:pPr>
      <w:r>
        <w:t>Verify line is recovered + isolated.</w:t>
      </w:r>
    </w:p>
    <w:p>
      <w:pPr>
        <w:pStyle w:val="ListNumber"/>
      </w:pPr>
      <w:r>
        <w:t>Connect nitrogen regulator + flow meter; set 5-10 SCFH.</w:t>
      </w:r>
    </w:p>
    <w:p>
      <w:pPr>
        <w:pStyle w:val="ListNumber"/>
      </w:pPr>
      <w:r>
        <w:t>Crack open opposite end so nitrogen can flow through.</w:t>
      </w:r>
    </w:p>
    <w:p>
      <w:pPr>
        <w:pStyle w:val="ListNumber"/>
      </w:pPr>
      <w:r>
        <w:t>Apply heat + braze filler. BCuP-2 or BAg alloy as spec'd.</w:t>
      </w:r>
    </w:p>
    <w:p>
      <w:pPr>
        <w:pStyle w:val="ListNumber"/>
      </w:pPr>
      <w:r>
        <w:t>Maintain nitrogen flow during cool-down (slow cooling = scale-free interior).</w:t>
      </w:r>
    </w:p>
    <w:p>
      <w:pPr>
        <w:pStyle w:val="ListNumber"/>
      </w:pPr>
      <w:r>
        <w:t>Pressure test post-braze: nitrogen pressurize per spec (commonly 150-500 psig depending on</w:t>
        <w:br/>
        <w:t xml:space="preserve">            high/low side); soap-test every joint; hold for spec'd duration.</w:t>
      </w:r>
    </w:p>
    <w:p>
      <w:pPr>
        <w:pStyle w:val="ListNumber"/>
      </w:pPr>
      <w:r>
        <w:t>Vacuum to 500 microns; hold per spec (typically 15 min decay test &lt; 500 microns).</w:t>
      </w:r>
    </w:p>
    <w:p>
      <w:pPr>
        <w:pStyle w:val="ListNumber"/>
      </w:pPr>
      <w:r>
        <w:t>Charge to spec.</w:t>
      </w:r>
    </w:p>
    <w:p>
      <w:pPr>
        <w:pStyle w:val="ListNumber"/>
      </w:pPr>
      <w:r>
        <w:t>Verify subcool / superheat per equipment data plate.</w:t>
      </w:r>
    </w:p>
    <w:p>
      <w:pPr>
        <w:pStyle w:val="ListNumber"/>
      </w:pPr>
      <w:r>
        <w:t>Document each step on the Refrigerant Log.</w:t>
      </w:r>
    </w:p>
    <w:p>
      <w:pPr>
        <w:pStyle w:val="ListBullet"/>
      </w:pPr>
      <w:r>
        <w:t>Hot Work Permit required for brazing, welding, soldering, grinding, cutting.</w:t>
      </w:r>
    </w:p>
    <w:p>
      <w:pPr>
        <w:pStyle w:val="ListBullet"/>
      </w:pPr>
      <w:r>
        <w:t>Permit issued daily by GC (or qualified site safety person).</w:t>
      </w:r>
    </w:p>
    <w:p>
      <w:pPr>
        <w:pStyle w:val="ListBullet"/>
      </w:pPr>
      <w:r>
        <w:t>Clear 35 ft of combustibles or cover with welding blankets / FR tarps.</w:t>
      </w:r>
    </w:p>
    <w:p>
      <w:pPr>
        <w:pStyle w:val="ListBullet"/>
      </w:pPr>
      <w:r>
        <w:t>Sweep up combustible dust + lint within radius.</w:t>
      </w:r>
    </w:p>
    <w:p>
      <w:pPr>
        <w:pStyle w:val="ListBullet"/>
      </w:pPr>
      <w:r>
        <w:t>Fire watch present during work + 30-min cool-down (60 min in some jurisdictions).</w:t>
      </w:r>
    </w:p>
    <w:p>
      <w:pPr>
        <w:pStyle w:val="ListBullet"/>
      </w:pPr>
      <w:r>
        <w:t>Fire extinguisher (A + B + C) within 10 ft.</w:t>
      </w:r>
    </w:p>
    <w:p>
      <w:pPr>
        <w:pStyle w:val="ListBullet"/>
      </w:pPr>
      <w:r>
        <w:t>Smoke-detector + sprinkler isolation coordinated + restored before leaving.</w:t>
      </w:r>
    </w:p>
    <w:p>
      <w:pPr>
        <w:pStyle w:val="ListBullet"/>
      </w:pPr>
      <w:r>
        <w:t>Outdoor wind — cease at &gt; 15 mph wind / dust events.</w:t>
      </w:r>
    </w:p>
    <w:p>
      <w:pPr>
        <w:pStyle w:val="ListBullet"/>
      </w:pPr>
      <w:r>
        <w:t>NEVER hot work near refrigerant cylinders or open A2L refrigerant systems without LFL clearance.</w:t>
      </w:r>
    </w:p>
    <w:p>
      <w:pPr>
        <w:pStyle w:val="ListBullet"/>
      </w:pPr>
      <w:r>
        <w:t>Hoses rated for the refrigerant + pressure.</w:t>
      </w:r>
    </w:p>
    <w:p>
      <w:pPr>
        <w:pStyle w:val="ListBullet"/>
      </w:pPr>
      <w:r>
        <w:t>Self-sealing connectors (low-loss fittings) — avoid venting on disconnect.</w:t>
      </w:r>
    </w:p>
    <w:p>
      <w:pPr>
        <w:pStyle w:val="ListBullet"/>
      </w:pPr>
      <w:r>
        <w:t>Cylinders secured upright; never lay-down a recovery cylinder during use.</w:t>
      </w:r>
    </w:p>
    <w:p>
      <w:pPr>
        <w:pStyle w:val="ListBullet"/>
      </w:pPr>
      <w:r>
        <w:t>Cylinder weight checks — verify recovery cylinder not over 80% fill (DOT requirement).</w:t>
      </w:r>
    </w:p>
    <w:p>
      <w:pPr>
        <w:pStyle w:val="ListBullet"/>
      </w:pPr>
      <w:r>
        <w:t>Outdoor storage — direct sunlight + heat increases pressure; shade + ventilate.</w:t>
      </w:r>
    </w:p>
    <w:p>
      <w:pPr>
        <w:pStyle w:val="ListBullet"/>
      </w:pPr>
      <w:r>
        <w:t>DOT marking compliance: USDOT-rated cylinders only; never use disposable cylinders for recovery.</w:t>
      </w:r>
    </w:p>
    <w:p>
      <w:pPr>
        <w:pStyle w:val="ListBullet"/>
      </w:pPr>
      <w:r>
        <w:t>Transport — secured + placarded per DOT 49 CFR 173.</w:t>
      </w:r>
    </w:p>
    <w:p>
      <w:pPr>
        <w:pStyle w:val="ListBullet"/>
      </w:pPr>
      <w:r>
        <w:t>Per-tech EPA 608 certification on file + on site.</w:t>
      </w:r>
    </w:p>
    <w:p>
      <w:pPr>
        <w:pStyle w:val="ListBullet"/>
      </w:pPr>
      <w:r>
        <w:t>Per-event recovery log: date, equipment, lbs in, lbs out, cylinder ID.</w:t>
      </w:r>
    </w:p>
    <w:p>
      <w:pPr>
        <w:pStyle w:val="ListBullet"/>
      </w:pPr>
      <w:r>
        <w:t>Leak detection + repair log per Subpart F.</w:t>
      </w:r>
    </w:p>
    <w:p>
      <w:pPr>
        <w:pStyle w:val="ListBullet"/>
      </w:pPr>
      <w:r>
        <w:t>Hot Work Permit log + signed permits archived per project.</w:t>
      </w:r>
    </w:p>
    <w:p>
      <w:pPr>
        <w:pStyle w:val="ListBullet"/>
      </w:pPr>
      <w:r>
        <w:t>Nitrogen pressure test results + vacuum decay logged per system.</w:t>
      </w:r>
    </w:p>
    <w:p>
      <w:pPr>
        <w:pStyle w:val="ListBullet"/>
      </w:pPr>
      <w:r>
        <w:t>Final refrigerant charge documented (equipment data plate + service tag).</w:t>
      </w:r>
    </w:p>
    <w:p>
      <w:pPr>
        <w:pStyle w:val="ListBullet"/>
      </w:pPr>
      <w:r>
        <w:t>EPA refrigerant management plan for facilities with multiple systems above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