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Closeout Timeline (3 Phases)</w:t>
      </w:r>
    </w:p>
    <w:p>
      <w:pPr>
        <w:pStyle w:val="ListNumber"/>
      </w:pPr>
      <w:r>
        <w:t>Final Inspection — What the AHJ Looks For</w:t>
      </w:r>
    </w:p>
    <w:p>
      <w:pPr>
        <w:pStyle w:val="ListNumber"/>
      </w:pPr>
      <w:r>
        <w:t>Punch List Management</w:t>
      </w:r>
    </w:p>
    <w:p>
      <w:pPr>
        <w:pStyle w:val="ListNumber"/>
      </w:pPr>
      <w:r>
        <w:t>Substantial vs Final Completion</w:t>
      </w:r>
    </w:p>
    <w:p>
      <w:pPr>
        <w:pStyle w:val="ListNumber"/>
      </w:pPr>
      <w:r>
        <w:t>O&amp;M Manual Contents</w:t>
      </w:r>
    </w:p>
    <w:p>
      <w:pPr>
        <w:pStyle w:val="ListNumber"/>
      </w:pPr>
      <w:r>
        <w:t>As-Built Drawings</w:t>
      </w:r>
    </w:p>
    <w:p>
      <w:pPr>
        <w:pStyle w:val="ListNumber"/>
      </w:pPr>
      <w:r>
        <w:t>Warranty Period &amp; Documentation</w:t>
      </w:r>
    </w:p>
    <w:p>
      <w:pPr>
        <w:pStyle w:val="ListNumber"/>
      </w:pPr>
      <w:r>
        <w:t>Required Submissions to Owner / AHJ / Purveyor</w:t>
      </w:r>
    </w:p>
    <w:p>
      <w:pPr>
        <w:pStyle w:val="ListNumber"/>
      </w:pPr>
      <w:r>
        <w:t>Lien Releases &amp; Retention</w:t>
      </w:r>
    </w:p>
    <w:p>
      <w:pPr>
        <w:pStyle w:val="ListNumber"/>
      </w:pPr>
      <w:r>
        <w:t>Common Closeout Pitfalls</w:t>
      </w:r>
    </w:p>
    <w:p>
      <w:pPr>
        <w:pStyle w:val="ListBullet"/>
      </w:pPr>
      <w:r>
        <w:t>Walk every system with the foreman. Self-punch before the GC walk.</w:t>
      </w:r>
    </w:p>
    <w:p>
      <w:pPr>
        <w:pStyle w:val="ListBullet"/>
      </w:pPr>
      <w:r>
        <w:t>Verify every backflow device has an Initial Test report on file.</w:t>
      </w:r>
    </w:p>
    <w:p>
      <w:pPr>
        <w:pStyle w:val="ListBullet"/>
      </w:pPr>
      <w:r>
        <w:t>Verify disinfection report on file with chain-of-custody.</w:t>
      </w:r>
    </w:p>
    <w:p>
      <w:pPr>
        <w:pStyle w:val="ListBullet"/>
      </w:pPr>
      <w:r>
        <w:t>Complete all final inspections; clear any open AHJ correction notices.</w:t>
      </w:r>
    </w:p>
    <w:p>
      <w:pPr>
        <w:pStyle w:val="ListBullet"/>
      </w:pPr>
      <w:r>
        <w:t>Submit pre-final O&amp;M manual draft for owner review.</w:t>
      </w:r>
    </w:p>
    <w:p>
      <w:pPr>
        <w:pStyle w:val="ListBullet"/>
      </w:pPr>
      <w:r>
        <w:t>Verify as-built redlines current at each foreman + uploaded to project shared drive.</w:t>
      </w:r>
    </w:p>
    <w:p>
      <w:pPr>
        <w:pStyle w:val="ListBullet"/>
      </w:pPr>
      <w:r>
        <w:t>Owner / GC walk + punch list issued.</w:t>
      </w:r>
    </w:p>
    <w:p>
      <w:pPr>
        <w:pStyle w:val="ListBullet"/>
      </w:pPr>
      <w:r>
        <w:t>Punch items addressed within the contract window (usually 30 days).</w:t>
      </w:r>
    </w:p>
    <w:p>
      <w:pPr>
        <w:pStyle w:val="ListBullet"/>
      </w:pPr>
      <w:r>
        <w:t>Owner training session — fixtures, valves, isolation, water-heater operation,</w:t>
        <w:br/>
        <w:t xml:space="preserve">            backflow location + test schedule. Sign attendance.</w:t>
      </w:r>
    </w:p>
    <w:p>
      <w:pPr>
        <w:pStyle w:val="ListBullet"/>
      </w:pPr>
      <w:r>
        <w:t>Submit final O&amp;M manual with all submittal data + warranty info.</w:t>
      </w:r>
    </w:p>
    <w:p>
      <w:pPr>
        <w:pStyle w:val="ListBullet"/>
      </w:pPr>
      <w:r>
        <w:t>Submit final as-builts (paper + PDF) to GC + owner.</w:t>
      </w:r>
    </w:p>
    <w:p>
      <w:pPr>
        <w:pStyle w:val="ListBullet"/>
      </w:pPr>
      <w:r>
        <w:t>Apply for Final Completion + final retention pay app.</w:t>
      </w:r>
    </w:p>
    <w:p>
      <w:pPr>
        <w:pStyle w:val="ListBullet"/>
      </w:pPr>
      <w:r>
        <w:t>Respond to warranty calls per contract response-time requirement.</w:t>
      </w:r>
    </w:p>
    <w:p>
      <w:pPr>
        <w:pStyle w:val="ListBullet"/>
      </w:pPr>
      <w:r>
        <w:t>Document each warranty visit; track cumulative count against budget.</w:t>
      </w:r>
    </w:p>
    <w:p>
      <w:pPr>
        <w:pStyle w:val="ListBullet"/>
      </w:pPr>
      <w:r>
        <w:t>Month 11 walk — pre-warranty-expiration check with owner.</w:t>
      </w:r>
    </w:p>
    <w:p>
      <w:pPr>
        <w:pStyle w:val="ListBullet"/>
      </w:pPr>
      <w:r>
        <w:t>Warranty release at end of period; archive job file.</w:t>
      </w:r>
    </w:p>
    <w:p>
      <w:pPr>
        <w:pStyle w:val="ListBullet"/>
      </w:pPr>
      <w:r>
        <w:t>All fixtures secured + functional (flow, drain, no leaks at supplies + drains).</w:t>
      </w:r>
    </w:p>
    <w:p>
      <w:pPr>
        <w:pStyle w:val="ListBullet"/>
      </w:pPr>
      <w:r>
        <w:t>Lavatory + sink faucet flow within code limits (typically ≤2.2 gpm at 60 psi</w:t>
        <w:br/>
        <w:t xml:space="preserve">            for kitchen, ≤0.5 gpm for public lavatories — verify code edition).</w:t>
      </w:r>
    </w:p>
    <w:p>
      <w:pPr>
        <w:pStyle w:val="ListBullet"/>
      </w:pPr>
      <w:r>
        <w:t>Water-closet flush volume ≤1.28 gpf (1.6 gpf for older grandfathered installations).</w:t>
      </w:r>
    </w:p>
    <w:p>
      <w:pPr>
        <w:pStyle w:val="ListBullet"/>
      </w:pPr>
      <w:r>
        <w:t>Hot-water delivery time — many AHJs check time-to-110°F at farthest fixture.</w:t>
      </w:r>
    </w:p>
    <w:p>
      <w:pPr>
        <w:pStyle w:val="ListBullet"/>
      </w:pPr>
      <w:r>
        <w:t>Trap seals + venting — no double-trapping, no S-traps, all vents tied per IPC Ch 9.</w:t>
      </w:r>
    </w:p>
    <w:p>
      <w:pPr>
        <w:pStyle w:val="ListBullet"/>
      </w:pPr>
      <w:r>
        <w:t>Cleanouts accessible + capped.</w:t>
      </w:r>
    </w:p>
    <w:p>
      <w:pPr>
        <w:pStyle w:val="ListBullet"/>
      </w:pPr>
      <w:r>
        <w:t>Backflow devices with initial test reports posted at the device + on file.</w:t>
      </w:r>
    </w:p>
    <w:p>
      <w:pPr>
        <w:pStyle w:val="ListBullet"/>
      </w:pPr>
      <w:r>
        <w:t>Water heater: T&amp;P relief discharge routed correctly (within 6" of floor or to</w:t>
        <w:br/>
        <w:t xml:space="preserve">            indirect waste), seismic strap, expansion tank where required, combustion air.</w:t>
      </w:r>
    </w:p>
    <w:p>
      <w:pPr>
        <w:pStyle w:val="ListBullet"/>
      </w:pPr>
      <w:r>
        <w:t>Gas: shutoff at each appliance, sediment trap, drip leg if required, vent connector</w:t>
        <w:br/>
        <w:t xml:space="preserve">            secured + supported.</w:t>
      </w:r>
    </w:p>
    <w:p>
      <w:pPr>
        <w:pStyle w:val="ListBullet"/>
      </w:pPr>
      <w:r>
        <w:t>Disinfection certificate on file.</w:t>
      </w:r>
    </w:p>
    <w:p>
      <w:pPr>
        <w:pStyle w:val="ListBullet"/>
      </w:pPr>
      <w:r>
        <w:t>Cross-connection control specialist's report on file with water purveyor.</w:t>
      </w:r>
    </w:p>
    <w:p>
      <w:r>
        <w:t>Punch items are tracked in the companion Punch List XLSX. Best practice:</w:t>
      </w:r>
    </w:p>
    <w:p>
      <w:pPr>
        <w:pStyle w:val="ListBullet"/>
      </w:pPr>
      <w:r>
        <w:t>Self-punch BEFORE the GC walk — find your own deficiencies first.</w:t>
      </w:r>
    </w:p>
    <w:p>
      <w:pPr>
        <w:pStyle w:val="ListBullet"/>
      </w:pPr>
      <w:r>
        <w:t>Photograph each punch item with location reference (room + fixture + view).</w:t>
      </w:r>
    </w:p>
    <w:p>
      <w:pPr>
        <w:pStyle w:val="ListBullet"/>
      </w:pPr>
      <w:r>
        <w:t>Assign each item to a journeyman with a target completion date.</w:t>
      </w:r>
    </w:p>
    <w:p>
      <w:pPr>
        <w:pStyle w:val="ListBullet"/>
      </w:pPr>
      <w:r>
        <w:t>Update daily until cleared.</w:t>
      </w:r>
    </w:p>
    <w:p>
      <w:pPr>
        <w:pStyle w:val="ListBullet"/>
      </w:pPr>
      <w:r>
        <w:t>Submit closed-punch certification to GC weekly during the closeout window.</w:t>
      </w:r>
    </w:p>
    <w:p>
      <w:pPr>
        <w:pStyle w:val="ListBullet"/>
      </w:pPr>
      <w:r>
        <w:t>Final walk should produce ZERO new items — if it doesn't, the self-punch was incomplete.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Substantial Completion</w:t>
            </w:r>
          </w:p>
        </w:tc>
        <w:tc>
          <w:tcPr>
            <w:tcW w:type="dxa" w:w="2880"/>
          </w:tcPr>
          <w:p>
            <w:r>
              <w:t>Final Completion</w:t>
            </w:r>
          </w:p>
        </w:tc>
      </w:tr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Owner can occupy + use for intended purpose</w:t>
            </w:r>
          </w:p>
        </w:tc>
        <w:tc>
          <w:tcPr>
            <w:tcW w:type="dxa" w:w="2880"/>
          </w:tcPr>
          <w:p>
            <w:r>
              <w:t>All punch items cleared + final docs submitted</w:t>
            </w:r>
          </w:p>
        </w:tc>
      </w:tr>
      <w:tr>
        <w:tc>
          <w:tcPr>
            <w:tcW w:type="dxa" w:w="2880"/>
          </w:tcPr>
          <w:p>
            <w:r>
              <w:t>AHJ status</w:t>
            </w:r>
          </w:p>
        </w:tc>
        <w:tc>
          <w:tcPr>
            <w:tcW w:type="dxa" w:w="2880"/>
          </w:tcPr>
          <w:p>
            <w:r>
              <w:t>Certificate of Occupancy issued (or T.C.O.)</w:t>
            </w:r>
          </w:p>
        </w:tc>
        <w:tc>
          <w:tcPr>
            <w:tcW w:type="dxa" w:w="2880"/>
          </w:tcPr>
          <w:p>
            <w:r>
              <w:t>N/A — already issued</w:t>
            </w:r>
          </w:p>
        </w:tc>
      </w:tr>
      <w:tr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Partial release per contract (often 50%)</w:t>
            </w:r>
          </w:p>
        </w:tc>
        <w:tc>
          <w:tcPr>
            <w:tcW w:type="dxa" w:w="2880"/>
          </w:tcPr>
          <w:p>
            <w:r>
              <w:t>Full retention release</w:t>
            </w:r>
          </w:p>
        </w:tc>
      </w:tr>
      <w:tr>
        <w:tc>
          <w:tcPr>
            <w:tcW w:type="dxa" w:w="2880"/>
          </w:tcPr>
          <w:p>
            <w:r>
              <w:t>Warranty start</w:t>
            </w:r>
          </w:p>
        </w:tc>
        <w:tc>
          <w:tcPr>
            <w:tcW w:type="dxa" w:w="2880"/>
          </w:tcPr>
          <w:p>
            <w:r>
              <w:t>Warranty period begins (typically)</w:t>
            </w:r>
          </w:p>
        </w:tc>
        <w:tc>
          <w:tcPr>
            <w:tcW w:type="dxa" w:w="2880"/>
          </w:tcPr>
          <w:p>
            <w:r>
              <w:t>Continues from substantial</w:t>
            </w:r>
          </w:p>
        </w:tc>
      </w:tr>
      <w:tr>
        <w:tc>
          <w:tcPr>
            <w:tcW w:type="dxa" w:w="2880"/>
          </w:tcPr>
          <w:p>
            <w:r>
              <w:t>LD's</w:t>
            </w:r>
          </w:p>
        </w:tc>
        <w:tc>
          <w:tcPr>
            <w:tcW w:type="dxa" w:w="2880"/>
          </w:tcPr>
          <w:p>
            <w:r>
              <w:t>Cease accruing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Lien rights</w:t>
            </w:r>
          </w:p>
        </w:tc>
        <w:tc>
          <w:tcPr>
            <w:tcW w:type="dxa" w:w="2880"/>
          </w:tcPr>
          <w:p>
            <w:r>
              <w:t>Don't waive without final docs</w:t>
            </w:r>
          </w:p>
        </w:tc>
        <w:tc>
          <w:tcPr>
            <w:tcW w:type="dxa" w:w="2880"/>
          </w:tcPr>
          <w:p>
            <w:r>
              <w:t>Conditional final waiver at full payment</w:t>
            </w:r>
          </w:p>
        </w:tc>
      </w:tr>
    </w:tbl>
    <w:p>
      <w:r>
        <w:t>Provide one (1) hard-copy binder + PDF on USB to the owner. Tab dividers per section:</w:t>
      </w:r>
    </w:p>
    <w:p>
      <w:pPr>
        <w:pStyle w:val="ListNumber"/>
      </w:pPr>
      <w:r>
        <w:t>Cover sheet — project name, address, contractor info, document version + date.</w:t>
      </w:r>
    </w:p>
    <w:p>
      <w:pPr>
        <w:pStyle w:val="ListNumber"/>
      </w:pPr>
      <w:r>
        <w:t>Table of contents.</w:t>
      </w:r>
    </w:p>
    <w:p>
      <w:pPr>
        <w:pStyle w:val="ListNumber"/>
      </w:pPr>
      <w:r>
        <w:t>Plumbing system overview — schematic + system description.</w:t>
      </w:r>
    </w:p>
    <w:p>
      <w:pPr>
        <w:pStyle w:val="ListNumber"/>
      </w:pPr>
      <w:r>
        <w:t>Equipment data sheets — water heaters, booster pumps, sewage ejectors, grease</w:t>
        <w:br/>
        <w:t xml:space="preserve">            interceptors, RPZ / DCV devices.</w:t>
      </w:r>
    </w:p>
    <w:p>
      <w:pPr>
        <w:pStyle w:val="ListNumber"/>
      </w:pPr>
      <w:r>
        <w:t>Approved submittals — every approved submittal in the order of CSI section.</w:t>
      </w:r>
    </w:p>
    <w:p>
      <w:pPr>
        <w:pStyle w:val="ListNumber"/>
      </w:pPr>
      <w:r>
        <w:t>Manufacturer O&amp;M booklets for installed equipment.</w:t>
      </w:r>
    </w:p>
    <w:p>
      <w:pPr>
        <w:pStyle w:val="ListNumber"/>
      </w:pPr>
      <w:r>
        <w:t>Test reports — pressure test log, disinfection certificate, backflow initial</w:t>
        <w:br/>
        <w:t xml:space="preserve">            tests.</w:t>
      </w:r>
    </w:p>
    <w:p>
      <w:pPr>
        <w:pStyle w:val="ListNumber"/>
      </w:pPr>
      <w:r>
        <w:t>As-built drawings (reduced + full-size pocket).</w:t>
      </w:r>
    </w:p>
    <w:p>
      <w:pPr>
        <w:pStyle w:val="ListNumber"/>
      </w:pPr>
      <w:r>
        <w:t>Warranty certificates — contractor warranty + manufacturer warranties.</w:t>
      </w:r>
    </w:p>
    <w:p>
      <w:pPr>
        <w:pStyle w:val="ListNumber"/>
      </w:pPr>
      <w:r>
        <w:t>Recommended maintenance schedule.</w:t>
      </w:r>
    </w:p>
    <w:p>
      <w:pPr>
        <w:pStyle w:val="ListNumber"/>
      </w:pPr>
      <w:r>
        <w:t>Vendor contact list — service tech, fixture supplier, water purveyor.</w:t>
      </w:r>
    </w:p>
    <w:p>
      <w:pPr>
        <w:pStyle w:val="ListNumber"/>
      </w:pPr>
      <w:r>
        <w:t>Emergency procedures — main shutoff locations, gas shutoff, sewer backup contact.</w:t>
      </w:r>
    </w:p>
    <w:p>
      <w:pPr>
        <w:pStyle w:val="ListBullet"/>
      </w:pPr>
      <w:r>
        <w:t>Maintain redlines throughout construction — both rough-in foreman + trim-out foreman.</w:t>
      </w:r>
    </w:p>
    <w:p>
      <w:pPr>
        <w:pStyle w:val="ListBullet"/>
      </w:pPr>
      <w:r>
        <w:t>Capture: actual underground routing + depths, valve locations, BFP locations,</w:t>
        <w:br/>
        <w:t xml:space="preserve">            cleanouts, sleeves, all deviations from contract drawings.</w:t>
      </w:r>
    </w:p>
    <w:p>
      <w:pPr>
        <w:pStyle w:val="ListBullet"/>
      </w:pPr>
      <w:r>
        <w:t>Mark survey markers / coordinates where applicable.</w:t>
      </w:r>
    </w:p>
    <w:p>
      <w:pPr>
        <w:pStyle w:val="ListBullet"/>
      </w:pPr>
      <w:r>
        <w:t>Final as-builts as PDF + printed reduced + full-size in CAD (DWG/DXF) if specified.</w:t>
      </w:r>
    </w:p>
    <w:p>
      <w:pPr>
        <w:pStyle w:val="ListBullet"/>
      </w:pPr>
      <w:r>
        <w:t>Submit per contract — typically 30 days post-substantial completion.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 plumbing warranty</w:t>
            </w:r>
          </w:p>
        </w:tc>
        <w:tc>
          <w:tcPr>
            <w:tcW w:type="dxa" w:w="4320"/>
          </w:tcPr>
          <w:p>
            <w:r>
              <w:t>1 year from substantial completion (verify contract)</w:t>
            </w:r>
          </w:p>
        </w:tc>
      </w:tr>
      <w:tr>
        <w:tc>
          <w:tcPr>
            <w:tcW w:type="dxa" w:w="4320"/>
          </w:tcPr>
          <w:p>
            <w:r>
              <w:t>Mfr equipment warranty</w:t>
            </w:r>
          </w:p>
        </w:tc>
        <w:tc>
          <w:tcPr>
            <w:tcW w:type="dxa" w:w="4320"/>
          </w:tcPr>
          <w:p>
            <w:r>
              <w:t>Per mfr — typically 1-5 years; transfer registrations to owner</w:t>
            </w:r>
          </w:p>
        </w:tc>
      </w:tr>
      <w:tr>
        <w:tc>
          <w:tcPr>
            <w:tcW w:type="dxa" w:w="4320"/>
          </w:tcPr>
          <w:p>
            <w:r>
              <w:t>Underground-piping extended</w:t>
            </w:r>
          </w:p>
        </w:tc>
        <w:tc>
          <w:tcPr>
            <w:tcW w:type="dxa" w:w="4320"/>
          </w:tcPr>
          <w:p>
            <w:r>
              <w:t>Per contract — often 2-10 years on buried sanitary or storm</w:t>
            </w:r>
          </w:p>
        </w:tc>
      </w:tr>
      <w:tr>
        <w:tc>
          <w:tcPr>
            <w:tcW w:type="dxa" w:w="4320"/>
          </w:tcPr>
          <w:p>
            <w:r>
              <w:t>Response-time SLA</w:t>
            </w:r>
          </w:p>
        </w:tc>
        <w:tc>
          <w:tcPr>
            <w:tcW w:type="dxa" w:w="4320"/>
          </w:tcPr>
          <w:p>
            <w:r>
              <w:t>Per contract — typical: emergency &lt; 24 hr, non-emergency &lt; 5 business days</w:t>
            </w:r>
          </w:p>
        </w:tc>
      </w:tr>
      <w:tr>
        <w:tc>
          <w:tcPr>
            <w:tcW w:type="dxa" w:w="4320"/>
          </w:tcPr>
          <w:p>
            <w:r>
              <w:t>Owner reports through</w:t>
            </w:r>
          </w:p>
        </w:tc>
        <w:tc>
          <w:tcPr>
            <w:tcW w:type="dxa" w:w="4320"/>
          </w:tcPr>
          <w:p>
            <w:r>
              <w:t>Single email + phone in O&amp;M manual; log every call</w:t>
            </w:r>
          </w:p>
        </w:tc>
      </w:tr>
      <w:tr>
        <w:tc>
          <w:tcPr>
            <w:tcW w:type="dxa" w:w="4320"/>
          </w:tcPr>
          <w:p>
            <w:r>
              <w:t>Document each visit</w:t>
            </w:r>
          </w:p>
        </w:tc>
        <w:tc>
          <w:tcPr>
            <w:tcW w:type="dxa" w:w="4320"/>
          </w:tcPr>
          <w:p>
            <w:r>
              <w:t>Service ticket + photo + sign-off by owner rep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Recipient</w:t>
            </w:r>
          </w:p>
        </w:tc>
        <w:tc>
          <w:tcPr>
            <w:tcW w:type="dxa" w:w="2160"/>
          </w:tcPr>
          <w:p>
            <w:r>
              <w:t>Due By</w:t>
            </w:r>
          </w:p>
        </w:tc>
        <w:tc>
          <w:tcPr>
            <w:tcW w:type="dxa" w:w="2160"/>
          </w:tcPr>
          <w:p>
            <w:r>
              <w:t>Confirmation Required</w:t>
            </w:r>
          </w:p>
        </w:tc>
      </w:tr>
      <w:tr>
        <w:tc>
          <w:tcPr>
            <w:tcW w:type="dxa" w:w="2160"/>
          </w:tcPr>
          <w:p>
            <w:r>
              <w:t>Pressure test log</w:t>
            </w:r>
          </w:p>
        </w:tc>
        <w:tc>
          <w:tcPr>
            <w:tcW w:type="dxa" w:w="2160"/>
          </w:tcPr>
          <w:p>
            <w:r>
              <w:t>GC + AHJ</w:t>
            </w:r>
          </w:p>
        </w:tc>
        <w:tc>
          <w:tcPr>
            <w:tcW w:type="dxa" w:w="2160"/>
          </w:tcPr>
          <w:p>
            <w:r>
              <w:t>Final inspection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DWV / stack test results</w:t>
            </w:r>
          </w:p>
        </w:tc>
        <w:tc>
          <w:tcPr>
            <w:tcW w:type="dxa" w:w="2160"/>
          </w:tcPr>
          <w:p>
            <w:r>
              <w:t>GC + AHJ</w:t>
            </w:r>
          </w:p>
        </w:tc>
        <w:tc>
          <w:tcPr>
            <w:tcW w:type="dxa" w:w="2160"/>
          </w:tcPr>
          <w:p>
            <w:r>
              <w:t>Final inspection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Gas pressure test report</w:t>
            </w:r>
          </w:p>
        </w:tc>
        <w:tc>
          <w:tcPr>
            <w:tcW w:type="dxa" w:w="2160"/>
          </w:tcPr>
          <w:p>
            <w:r>
              <w:t>GC + AHJ</w:t>
            </w:r>
          </w:p>
        </w:tc>
        <w:tc>
          <w:tcPr>
            <w:tcW w:type="dxa" w:w="2160"/>
          </w:tcPr>
          <w:p>
            <w:r>
              <w:t>Pre-gas-meter set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Backflow initial test reports</w:t>
            </w:r>
          </w:p>
        </w:tc>
        <w:tc>
          <w:tcPr>
            <w:tcW w:type="dxa" w:w="2160"/>
          </w:tcPr>
          <w:p>
            <w:r>
              <w:t>Water purveyor + AHJ + owner</w:t>
            </w:r>
          </w:p>
        </w:tc>
        <w:tc>
          <w:tcPr>
            <w:tcW w:type="dxa" w:w="2160"/>
          </w:tcPr>
          <w:p>
            <w:r>
              <w:t>Within 10 days of testing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Disinfection certificate</w:t>
            </w:r>
          </w:p>
        </w:tc>
        <w:tc>
          <w:tcPr>
            <w:tcW w:type="dxa" w:w="2160"/>
          </w:tcPr>
          <w:p>
            <w:r>
              <w:t>AHJ + water purveyor + owner</w:t>
            </w:r>
          </w:p>
        </w:tc>
        <w:tc>
          <w:tcPr>
            <w:tcW w:type="dxa" w:w="2160"/>
          </w:tcPr>
          <w:p>
            <w:r>
              <w:t>Pre-occupancy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Final as-built drawings</w:t>
            </w:r>
          </w:p>
        </w:tc>
        <w:tc>
          <w:tcPr>
            <w:tcW w:type="dxa" w:w="2160"/>
          </w:tcPr>
          <w:p>
            <w:r>
              <w:t>GC + owner</w:t>
            </w:r>
          </w:p>
        </w:tc>
        <w:tc>
          <w:tcPr>
            <w:tcW w:type="dxa" w:w="2160"/>
          </w:tcPr>
          <w:p>
            <w:r>
              <w:t>30 days post-substantial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O&amp;M manual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Substantial completion</w:t>
            </w:r>
          </w:p>
        </w:tc>
        <w:tc>
          <w:tcPr>
            <w:tcW w:type="dxa" w:w="2160"/>
          </w:tcPr>
          <w:p>
            <w:r>
              <w:t>Yes (signed receipt)</w:t>
            </w:r>
          </w:p>
        </w:tc>
      </w:tr>
      <w:tr>
        <w:tc>
          <w:tcPr>
            <w:tcW w:type="dxa" w:w="2160"/>
          </w:tcPr>
          <w:p>
            <w:r>
              <w:t>Warranty letter</w:t>
            </w:r>
          </w:p>
        </w:tc>
        <w:tc>
          <w:tcPr>
            <w:tcW w:type="dxa" w:w="2160"/>
          </w:tcPr>
          <w:p>
            <w:r>
              <w:t>Owner + GC</w:t>
            </w:r>
          </w:p>
        </w:tc>
        <w:tc>
          <w:tcPr>
            <w:tcW w:type="dxa" w:w="2160"/>
          </w:tcPr>
          <w:p>
            <w:r>
              <w:t>Substantial completion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Equipment registrations</w:t>
            </w:r>
          </w:p>
        </w:tc>
        <w:tc>
          <w:tcPr>
            <w:tcW w:type="dxa" w:w="2160"/>
          </w:tcPr>
          <w:p>
            <w:r>
              <w:t>Manufacturers</w:t>
            </w:r>
          </w:p>
        </w:tc>
        <w:tc>
          <w:tcPr>
            <w:tcW w:type="dxa" w:w="2160"/>
          </w:tcPr>
          <w:p>
            <w:r>
              <w:t>Within 60 days of substantial</w:t>
            </w:r>
          </w:p>
        </w:tc>
        <w:tc>
          <w:tcPr>
            <w:tcW w:type="dxa" w:w="2160"/>
          </w:tcPr>
          <w:p>
            <w:r>
              <w:t>Receipts retained</w:t>
            </w:r>
          </w:p>
        </w:tc>
      </w:tr>
      <w:tr>
        <w:tc>
          <w:tcPr>
            <w:tcW w:type="dxa" w:w="2160"/>
          </w:tcPr>
          <w:p>
            <w:r>
              <w:t>Final lien waiver</w:t>
            </w:r>
          </w:p>
        </w:tc>
        <w:tc>
          <w:tcPr>
            <w:tcW w:type="dxa" w:w="2160"/>
          </w:tcPr>
          <w:p>
            <w:r>
              <w:t>GC + owner</w:t>
            </w:r>
          </w:p>
        </w:tc>
        <w:tc>
          <w:tcPr>
            <w:tcW w:type="dxa" w:w="2160"/>
          </w:tcPr>
          <w:p>
            <w:r>
              <w:t>Final payment</w:t>
            </w:r>
          </w:p>
        </w:tc>
        <w:tc>
          <w:tcPr>
            <w:tcW w:type="dxa" w:w="2160"/>
          </w:tcPr>
          <w:p>
            <w:r>
              <w:t>Yes (notarized if required)</w:t>
            </w:r>
          </w:p>
        </w:tc>
      </w:tr>
    </w:tbl>
    <w:p>
      <w:pPr>
        <w:pStyle w:val="ListBullet"/>
      </w:pPr>
      <w:r>
        <w:rPr>
          <w:b/>
        </w:rPr>
        <w:t>Progress waivers</w:t>
      </w:r>
      <w:r>
        <w:t xml:space="preserve"> — conditional / unconditional per payment. Don't</w:t>
        <w:br/>
        <w:t xml:space="preserve">            sign unconditional waivers until paid in cleared funds.</w:t>
      </w:r>
    </w:p>
    <w:p>
      <w:pPr>
        <w:pStyle w:val="ListBullet"/>
      </w:pPr>
      <w:r>
        <w:rPr>
          <w:b/>
        </w:rPr>
        <w:t>Substantial-completion partial release</w:t>
      </w:r>
      <w:r>
        <w:t xml:space="preserve"> — typically half of</w:t>
        <w:br/>
        <w:t xml:space="preserve">            retention at substantial; balance at final.</w:t>
      </w:r>
    </w:p>
    <w:p>
      <w:pPr>
        <w:pStyle w:val="ListBullet"/>
      </w:pPr>
      <w:r>
        <w:rPr>
          <w:b/>
        </w:rPr>
        <w:t>Final release</w:t>
      </w:r>
      <w:r>
        <w:t xml:space="preserve"> — conditional final waiver upon receipt of retention.</w:t>
        <w:br/>
        <w:t xml:space="preserve">            Then unconditional final after funds clear.</w:t>
      </w:r>
    </w:p>
    <w:p>
      <w:pPr>
        <w:pStyle w:val="ListBullet"/>
      </w:pPr>
      <w:r>
        <w:rPr>
          <w:b/>
        </w:rPr>
        <w:t>Notice-of-completion</w:t>
      </w:r>
      <w:r>
        <w:t xml:space="preserve"> — most states require an NOC to start the</w:t>
        <w:br/>
        <w:t xml:space="preserve">            lien-period clock; track the NOC + your lien deadlines.</w:t>
      </w:r>
    </w:p>
    <w:p>
      <w:pPr>
        <w:pStyle w:val="ListBullet"/>
      </w:pPr>
      <w:r>
        <w:rPr>
          <w:b/>
        </w:rPr>
        <w:t>Vendor + sub release</w:t>
      </w:r>
      <w:r>
        <w:t xml:space="preserve"> — collect waivers from your own subs +</w:t>
        <w:br/>
        <w:t xml:space="preserve">            material suppliers before signing your own final.</w:t>
      </w:r>
    </w:p>
    <w:p>
      <w:pPr>
        <w:pStyle w:val="ListNumber"/>
      </w:pPr>
      <w:r>
        <w:t>Missing disinfection certificate — most-common holdup for Certificate of Occupancy.</w:t>
      </w:r>
    </w:p>
    <w:p>
      <w:pPr>
        <w:pStyle w:val="ListNumber"/>
      </w:pPr>
      <w:r>
        <w:t>Backflow initial-test report missing or not submitted to water purveyor.</w:t>
      </w:r>
    </w:p>
    <w:p>
      <w:pPr>
        <w:pStyle w:val="ListNumber"/>
      </w:pPr>
      <w:r>
        <w:t>As-built deviations not captured during rough-in (years-later RFI nightmares).</w:t>
      </w:r>
    </w:p>
    <w:p>
      <w:pPr>
        <w:pStyle w:val="ListNumber"/>
      </w:pPr>
      <w:r>
        <w:t>Warranty registration cards not mailed in.</w:t>
      </w:r>
    </w:p>
    <w:p>
      <w:pPr>
        <w:pStyle w:val="ListNumber"/>
      </w:pPr>
      <w:r>
        <w:t>Unsigned owner training attendance sheet.</w:t>
      </w:r>
    </w:p>
    <w:p>
      <w:pPr>
        <w:pStyle w:val="ListNumber"/>
      </w:pPr>
      <w:r>
        <w:t>Submittal book missing a section (kitchen-equipment plumbing rough often forgotten).</w:t>
      </w:r>
    </w:p>
    <w:p>
      <w:pPr>
        <w:pStyle w:val="ListNumber"/>
      </w:pPr>
      <w:r>
        <w:t>Punch list closed without photo proof — owner rejects without re-trip.</w:t>
      </w:r>
    </w:p>
    <w:p>
      <w:pPr>
        <w:pStyle w:val="ListNumber"/>
      </w:pPr>
      <w:r>
        <w:t>O&amp;M manual missing emergency contacts.</w:t>
      </w:r>
    </w:p>
    <w:p>
      <w:pPr>
        <w:pStyle w:val="ListNumber"/>
      </w:pPr>
      <w:r>
        <w:t>Unconditional waiver signed before payment cleared.</w:t>
      </w:r>
    </w:p>
    <w:p>
      <w:pPr>
        <w:pStyle w:val="ListNumber"/>
      </w:pPr>
      <w:r>
        <w:t>Vendor / sub lien waivers not collected — your final release is blocked.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