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2B55"/>
          </w:tcPr>
          <w:p>
            <w:pPr>
              <w:jc w:val="center"/>
              <w:spacing w:before="240" w:after="40"/>
            </w:pPr>
            <w:r>
              <w:rPr>
                <w:b/>
                <w:i w:val="0"/>
                <w:color w:val="FFFFFF"/>
                <w:sz w:val="72"/>
              </w:rPr>
              <w:t>MediFleet</w:t>
            </w:r>
          </w:p>
          <w:p>
            <w:pPr>
              <w:jc w:val="center"/>
              <w:spacing w:before="0" w:after="40"/>
            </w:pPr>
            <w:r>
              <w:rPr>
                <w:b w:val="0"/>
                <w:i w:val="0"/>
                <w:color w:val="A8D8DA"/>
                <w:sz w:val="32"/>
              </w:rPr>
              <w:t>Hospital Management System</w:t>
            </w:r>
          </w:p>
          <w:p>
            <w:pPr>
              <w:jc w:val="center"/>
              <w:spacing w:before="0" w:after="200"/>
            </w:pPr>
            <w:r>
              <w:rPr>
                <w:b w:val="0"/>
                <w:i/>
                <w:color w:val="CCE5E6"/>
                <w:sz w:val="22"/>
              </w:rPr>
              <w:t>Business Proposal  ·  May 2026</w:t>
            </w:r>
          </w:p>
        </w:tc>
      </w:tr>
    </w:tbl>
    <w:p/>
    <w:p>
      <w:pPr>
        <w:jc w:val="center"/>
        <w:spacing w:before="60" w:after="160"/>
      </w:pPr>
      <w:r>
        <w:rPr>
          <w:b w:val="0"/>
          <w:i/>
          <w:color w:val="00878A"/>
          <w:sz w:val="24"/>
        </w:rPr>
        <w:t>Powering Modern Healthcare — One Hospital at a Time</w:t>
      </w:r>
    </w:p>
    <w:p>
      <w:pPr>
        <w:spacing w:before="0" w:after="60"/>
        <w:pBdr>
          <w:bottom w:val="single" w:sz="6" w:space="1" w:color="00878A"/>
        </w:pBdr>
      </w:pPr>
    </w:p>
    <w:p>
      <w:pPr>
        <w:spacing w:before="120" w:after="60"/>
      </w:pPr>
      <w:r>
        <w:rPr>
          <w:b/>
          <w:color w:val="0D2B55"/>
          <w:sz w:val="36"/>
        </w:rPr>
        <w:t>Executive Summary</w:t>
      </w:r>
    </w:p>
    <w:p>
      <w:pPr>
        <w:spacing w:before="0" w:after="120"/>
      </w:pPr>
      <w:r>
        <w:t>MediFleet is a cloud-native, multi-tenant Hospital Management System (HMS) purpose-built for East African healthcare providers. Delivered entirely as a Software-as-a-Service (SaaS) platform, MediFleet eliminates the capital cost of on-premise servers and the operational burden of manual software upgrades. Each subscribing hospital receives a fully isolated database environment, ensuring complete data privacy and regulatory compliance with the Kenya Data Protection Act 2019 (KDPA) and the Health Act 2017.</w:t>
      </w:r>
    </w:p>
    <w:p>
      <w:pPr>
        <w:spacing w:before="0" w:after="120"/>
      </w:pPr>
      <w:r>
        <w:t>The platform ships with a configurable module catalogue of 23 à-la-carte features — from patient registration and clinical encounters to M-Pesa mobile payments, pharmacy dispensing, laboratory results, radiology reporting, and an integrated patient self-service portal. Hospitals activate only the modules they need, keeping costs predictable while retaining the ability to scale instantly as their services grow.</w:t>
      </w:r>
    </w:p>
    <w:p>
      <w:pPr>
        <w:spacing w:before="0" w:after="160"/>
      </w:pPr>
      <w:r>
        <w:t>Built on a modern technology stack (FastAPI · React 19 · PostgreSQL · Redis), MediFleet delivers real-time dashboards, role-based access control, WebSocket notifications, and automated regulatory reporting — capabilities that previously required bespoke, six-figure software projects. We are now entering a structured commercial growth phase and seeking to expand our installed base from pilot clients to 50 contracted hospitals within 24 months.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Target Market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Private hospitals, mission hospitals, and specialist clinics in Kenya and the broader East Africa region</w:t>
            </w:r>
          </w:p>
        </w:tc>
      </w:tr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Revenue Model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Annual SaaS subscriptions + module add-ons + one-time implementation fees</w:t>
            </w:r>
          </w:p>
        </w:tc>
      </w:tr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Competitive Edge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KDPA-compliant multi-tenancy, M-Pesa-native billing, and a zero-CapEx deployment model</w:t>
            </w:r>
          </w:p>
        </w:tc>
      </w:tr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Year-1 Target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15 contracted hospitals · KES 22.5 M ARR</w:t>
            </w:r>
          </w:p>
        </w:tc>
      </w:tr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Year-2 Target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50 contracted hospitals · KES 78 M ARR</w:t>
            </w:r>
          </w:p>
        </w:tc>
      </w:tr>
      <w:tr>
        <w:tc>
          <w:tcPr>
            <w:tcW w:type="dxa" w:w="2592"/>
            <w:shd w:val="clear" w:color="auto" w:fill="F0F7F8"/>
          </w:tcPr>
          <w:p>
            <w:pPr>
              <w:jc w:val="left"/>
              <w:spacing w:before="60" w:after="60"/>
            </w:pPr>
            <w:r>
              <w:rPr>
                <w:b/>
                <w:i w:val="0"/>
                <w:color w:val="0D2B55"/>
                <w:sz w:val="20"/>
              </w:rPr>
              <w:t>Team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b w:val="0"/>
                <w:i w:val="0"/>
                <w:color w:val="444D56"/>
                <w:sz w:val="20"/>
              </w:rPr>
              <w:t>Founding CTO (FullStack) + 2 backend engineers + 1 DevOps + 2 clinical implementation consultants</w:t>
            </w:r>
          </w:p>
        </w:tc>
      </w:tr>
    </w:tbl>
    <w:p/>
    <w:p>
      <w:r>
        <w:br w:type="page"/>
      </w:r>
    </w:p>
    <w:p>
      <w:pPr>
        <w:spacing w:before="40" w:after="60"/>
      </w:pPr>
      <w:r>
        <w:rPr>
          <w:b/>
          <w:color w:val="0D2B55"/>
          <w:sz w:val="36"/>
        </w:rPr>
        <w:t>Subscription Pricing</w:t>
      </w:r>
    </w:p>
    <w:p>
      <w:pPr>
        <w:spacing w:before="0" w:after="60"/>
        <w:pBdr>
          <w:bottom w:val="single" w:sz="6" w:space="1" w:color="00878A"/>
        </w:pBdr>
      </w:pPr>
    </w:p>
    <w:p>
      <w:pPr>
        <w:spacing w:before="80" w:after="140"/>
      </w:pPr>
      <w:r>
        <w:rPr>
          <w:b w:val="0"/>
          <w:i/>
          <w:color w:val="444D56"/>
          <w:sz w:val="20"/>
        </w:rPr>
        <w:t>All plans are billed annually in Kenya Shillings (KES). Prices are per-hospital per-year. Implementation fee is a one-time charge.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878A"/>
          </w:tcPr>
          <w:p>
            <w:pPr>
              <w:jc w:val="center"/>
              <w:spacing w:before="120" w:after="20"/>
            </w:pPr>
            <w:r>
              <w:rPr>
                <w:b/>
                <w:i w:val="0"/>
                <w:color w:val="FFFFFF"/>
                <w:sz w:val="32"/>
              </w:rPr>
              <w:t>Starter</w:t>
            </w:r>
          </w:p>
          <w:p>
            <w:pPr>
              <w:jc w:val="center"/>
              <w:spacing w:before="20" w:after="10"/>
            </w:pPr>
            <w:r>
              <w:rPr>
                <w:b/>
                <w:i w:val="0"/>
                <w:color w:val="FFFFFF"/>
                <w:sz w:val="26"/>
              </w:rPr>
              <w:t>KES 900,000 / yr</w:t>
            </w:r>
          </w:p>
          <w:p>
            <w:pPr>
              <w:jc w:val="center"/>
              <w:spacing w:before="0" w:after="80"/>
            </w:pPr>
            <w:r>
              <w:rPr>
                <w:b w:val="0"/>
                <w:i/>
                <w:color w:val="CCE5E6"/>
                <w:sz w:val="18"/>
              </w:rPr>
              <w:t>Community Clinics &amp; Dispensaries</w:t>
            </w:r>
          </w:p>
          <w:p>
            <w:pPr>
              <w:jc w:val="center"/>
              <w:spacing w:before="0" w:after="60"/>
            </w:pPr>
            <w:r>
              <w:rPr>
                <w:color w:val="88BBBD"/>
                <w:sz w:val="16"/>
              </w:rPr>
              <w:t>──────────────────────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Patient Registry (unlimited patients)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Appointments &amp; Scheduling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Clinical Desk (Encounters &amp; SOAP Notes)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Internal Messaging &amp; Notifications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Role-Based Access Control (up to 15 users)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Email &amp; In-App Support</w:t>
            </w:r>
          </w:p>
          <w:p>
            <w:pPr>
              <w:jc w:val="center"/>
              <w:spacing w:before="80" w:after="60"/>
            </w:pPr>
            <w:r>
              <w:rPr>
                <w:b w:val="0"/>
                <w:i/>
                <w:color w:val="AACCCE"/>
                <w:sz w:val="16"/>
              </w:rPr>
              <w:t>Implementation fee: KES 50,000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  <w:spacing w:before="120" w:after="20"/>
            </w:pPr>
            <w:r>
              <w:rPr>
                <w:b/>
                <w:i w:val="0"/>
                <w:color w:val="FFFFFF"/>
                <w:sz w:val="32"/>
              </w:rPr>
              <w:t>Professional</w:t>
            </w:r>
          </w:p>
          <w:p>
            <w:pPr>
              <w:jc w:val="center"/>
              <w:spacing w:before="20" w:after="10"/>
            </w:pPr>
            <w:r>
              <w:rPr>
                <w:b/>
                <w:i w:val="0"/>
                <w:color w:val="FFE07A"/>
                <w:sz w:val="26"/>
              </w:rPr>
              <w:t>KES 1,800,000 / yr</w:t>
            </w:r>
          </w:p>
          <w:p>
            <w:pPr>
              <w:jc w:val="center"/>
              <w:spacing w:before="0" w:after="80"/>
            </w:pPr>
            <w:r>
              <w:rPr>
                <w:b w:val="0"/>
                <w:i/>
                <w:color w:val="A8D8DA"/>
                <w:sz w:val="18"/>
              </w:rPr>
              <w:t>Private Hospitals &amp; Specialist Centres</w:t>
            </w:r>
          </w:p>
          <w:p>
            <w:pPr>
              <w:jc w:val="center"/>
              <w:spacing w:before="0" w:after="60"/>
            </w:pPr>
            <w:r>
              <w:rPr>
                <w:color w:val="88BBBD"/>
                <w:sz w:val="16"/>
              </w:rPr>
              <w:t>──────────────────────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Everything in Starter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Laboratory Module (orders, results, FEFO reagents)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Pharmacy &amp; Inventory (dispensing, stock alerts)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Wards &amp; In-Patient Management (bed board)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Billing &amp; M-Pesa STK Push Integration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Medical History &amp; KDPA Consent Tracking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Referrals &amp; Analytics Dashboard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FFE07A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Up to 50 users · Priority Support (4-hr SLA)</w:t>
            </w:r>
          </w:p>
          <w:p>
            <w:pPr>
              <w:jc w:val="center"/>
              <w:spacing w:before="80" w:after="60"/>
            </w:pPr>
            <w:r>
              <w:rPr>
                <w:b w:val="0"/>
                <w:i/>
                <w:color w:val="AACCCE"/>
                <w:sz w:val="16"/>
              </w:rPr>
              <w:t>Implementation fee: KES 120,000</w:t>
            </w:r>
          </w:p>
          <w:p>
            <w:pPr>
              <w:jc w:val="center"/>
              <w:spacing w:before="0" w:after="100"/>
            </w:pPr>
            <w:r>
              <w:rPr>
                <w:b/>
                <w:i w:val="0"/>
                <w:color w:val="FFE07A"/>
                <w:sz w:val="18"/>
              </w:rPr>
              <w:t>★  MOST POPULAR  ★</w:t>
            </w:r>
          </w:p>
        </w:tc>
        <w:tc>
          <w:tcPr>
            <w:tcW w:type="dxa" w:w="3024"/>
            <w:shd w:val="clear" w:color="auto" w:fill="1A3A6B"/>
          </w:tcPr>
          <w:p>
            <w:pPr>
              <w:jc w:val="center"/>
              <w:spacing w:before="120" w:after="20"/>
            </w:pPr>
            <w:r>
              <w:rPr>
                <w:b/>
                <w:i w:val="0"/>
                <w:color w:val="FFFFFF"/>
                <w:sz w:val="32"/>
              </w:rPr>
              <w:t>Enterprise</w:t>
            </w:r>
          </w:p>
          <w:p>
            <w:pPr>
              <w:jc w:val="center"/>
              <w:spacing w:before="20" w:after="10"/>
            </w:pPr>
            <w:r>
              <w:rPr>
                <w:b/>
                <w:i w:val="0"/>
                <w:color w:val="FFFFFF"/>
                <w:sz w:val="26"/>
              </w:rPr>
              <w:t>KES 3,600,000 / yr</w:t>
            </w:r>
          </w:p>
          <w:p>
            <w:pPr>
              <w:jc w:val="center"/>
              <w:spacing w:before="0" w:after="80"/>
            </w:pPr>
            <w:r>
              <w:rPr>
                <w:b w:val="0"/>
                <w:i/>
                <w:color w:val="CCE5E6"/>
                <w:sz w:val="18"/>
              </w:rPr>
              <w:t>Hospital Groups &amp; Mission Networks</w:t>
            </w:r>
          </w:p>
          <w:p>
            <w:pPr>
              <w:jc w:val="center"/>
              <w:spacing w:before="0" w:after="60"/>
            </w:pPr>
            <w:r>
              <w:rPr>
                <w:color w:val="88BBBD"/>
                <w:sz w:val="16"/>
              </w:rPr>
              <w:t>──────────────────────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Everything in Professional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Radiology Module (DICOM viewer integration)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Patient Self-Service Portal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Multi-Branch / Group Reporting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Custom Branding &amp; Print Templates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Insurance Claim Workflow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Unlimited users · Dedicated CSM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24 / 7 Phone + SLA guarantee (1-hr critical)</w:t>
            </w:r>
          </w:p>
          <w:p>
            <w:pPr>
              <w:jc w:val="left"/>
              <w:spacing w:before="30" w:after="30"/>
            </w:pPr>
            <w:r>
              <w:rPr>
                <w:b/>
                <w:i w:val="0"/>
                <w:color w:val="7DE8C5"/>
                <w:sz w:val="18"/>
              </w:rPr>
              <w:t xml:space="preserve">✓  </w:t>
            </w:r>
            <w:r>
              <w:rPr>
                <w:b w:val="0"/>
                <w:i w:val="0"/>
                <w:color w:val="FFFFFF"/>
                <w:sz w:val="18"/>
              </w:rPr>
              <w:t>Annual KDPA compliance audit report</w:t>
            </w:r>
          </w:p>
          <w:p>
            <w:pPr>
              <w:jc w:val="center"/>
              <w:spacing w:before="80" w:after="60"/>
            </w:pPr>
            <w:r>
              <w:rPr>
                <w:b w:val="0"/>
                <w:i/>
                <w:color w:val="AACCCE"/>
                <w:sz w:val="16"/>
              </w:rPr>
              <w:t>Implementation fee: KES 250,000</w:t>
            </w:r>
          </w:p>
        </w:tc>
      </w:tr>
    </w:tbl>
    <w:p/>
    <w:p>
      <w:pPr>
        <w:spacing w:before="140" w:after="60"/>
      </w:pPr>
      <w:r>
        <w:rPr>
          <w:b/>
          <w:color w:val="00878A"/>
          <w:sz w:val="30"/>
        </w:rPr>
        <w:t>Optional Add-On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Add-On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Price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Unit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Additional User Licences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12,000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user / year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For hospitals exceeding plan user limits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SMS Notification Bundle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25,000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year (5,000 SMS)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Appointment reminders &amp; prescription alerts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DICOM Storage (Radiology)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60,000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TB / year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Cloud DICOM image archive (Enterprise only)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Insurance Claims Module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90,000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year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SHA / NHIF claim submission &amp; reconciliation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Custom Report Development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80,000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one-time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Bespoke BI report built to hospital specs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Extended Data Retention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30,000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year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Beyond standard 7-year retention tier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On-Site Training (per day)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35,000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day + travel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Live staff training at hospital premises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444D56"/>
                <w:sz w:val="18"/>
              </w:rPr>
              <w:t>Priority Escalation Retainer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0D2B55"/>
                <w:sz w:val="18"/>
              </w:rPr>
              <w:t>KES 150,000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per year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Guaranteed 30-min response for critical issues</w:t>
            </w:r>
          </w:p>
        </w:tc>
      </w:tr>
    </w:tbl>
    <w:p/>
    <w:p>
      <w:r>
        <w:br w:type="page"/>
      </w:r>
    </w:p>
    <w:p>
      <w:pPr>
        <w:spacing w:before="40" w:after="60"/>
      </w:pPr>
      <w:r>
        <w:rPr>
          <w:b/>
          <w:color w:val="0D2B55"/>
          <w:sz w:val="36"/>
        </w:rPr>
        <w:t>Revenue Projections &amp; Growth Estimates</w:t>
      </w:r>
    </w:p>
    <w:p>
      <w:pPr>
        <w:spacing w:before="0" w:after="60"/>
        <w:pBdr>
          <w:bottom w:val="single" w:sz="6" w:space="1" w:color="00878A"/>
        </w:pBdr>
      </w:pPr>
    </w:p>
    <w:p>
      <w:pPr>
        <w:spacing w:before="80" w:after="120"/>
      </w:pPr>
      <w:r>
        <w:t>The following projections are based on conservative market penetration assumptions: a 36-month sales cycle for government-linked facilities, 18-month cycle for private hospitals, and an average contract value (ACV) weighted across the three tiers. Churn is modelled at 5 % annually after year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Period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Starter</w:t>
              <w:br/>
              <w:t>Clients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Professional</w:t>
              <w:br/>
              <w:t>Clients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Enterprise</w:t>
              <w:br/>
              <w:t>Clients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Total</w:t>
              <w:br/>
              <w:t>Hospitals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Subscription</w:t>
              <w:br/>
              <w:t>ARR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Add-On</w:t>
              <w:br/>
              <w:t>Revenue</w:t>
            </w:r>
          </w:p>
        </w:tc>
        <w:tc>
          <w:tcPr>
            <w:tcW w:type="dxa" w:w="1134"/>
            <w:shd w:val="clear" w:color="auto" w:fill="00878A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Total</w:t>
              <w:br/>
              <w:t>Revenue</w:t>
            </w:r>
          </w:p>
        </w:tc>
      </w:tr>
      <w:tr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444D56"/>
                <w:sz w:val="18"/>
              </w:rPr>
              <w:t>Year 1 (2026–27)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8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5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2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15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22.5 M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3.2 M</w:t>
            </w:r>
          </w:p>
        </w:tc>
        <w:tc>
          <w:tcPr>
            <w:tcW w:type="dxa" w:w="1134"/>
            <w:shd w:val="clear" w:color="auto" w:fill="F0F7F8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0D2B55"/>
                <w:sz w:val="18"/>
              </w:rPr>
              <w:t>KES 25.7 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444D56"/>
                <w:sz w:val="18"/>
              </w:rPr>
              <w:t>Year 2 (2027–28)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57.6 M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9.5 M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0D2B55"/>
                <w:sz w:val="18"/>
              </w:rPr>
              <w:t>KES 67.1 M</w:t>
            </w:r>
          </w:p>
        </w:tc>
      </w:tr>
      <w:tr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444D56"/>
                <w:sz w:val="18"/>
              </w:rPr>
              <w:t>Year 3 (2028–29)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25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40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20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50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117.0 M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 w:val="0"/>
                <w:i w:val="0"/>
                <w:color w:val="444D56"/>
                <w:sz w:val="18"/>
              </w:rPr>
              <w:t>KES 21.0 M</w:t>
            </w:r>
          </w:p>
        </w:tc>
        <w:tc>
          <w:tcPr>
            <w:tcW w:type="dxa" w:w="1134"/>
            <w:shd w:val="clear" w:color="auto" w:fill="E8F5F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0D2B55"/>
                <w:sz w:val="18"/>
              </w:rPr>
              <w:t>KES 138.0 M</w:t>
            </w:r>
          </w:p>
        </w:tc>
      </w:tr>
    </w:tbl>
    <w:p/>
    <w:p>
      <w:pPr>
        <w:spacing w:before="120" w:after="60"/>
      </w:pPr>
      <w:r>
        <w:rPr>
          <w:b/>
          <w:color w:val="00878A"/>
          <w:sz w:val="28"/>
        </w:rPr>
        <w:t>Estimated Operating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FFFFFF"/>
                <w:sz w:val="18"/>
              </w:rPr>
              <w:t>Cost Category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FFFFFF"/>
                <w:sz w:val="18"/>
              </w:rPr>
              <w:t>Year 1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FFFFFF"/>
                <w:sz w:val="18"/>
              </w:rPr>
              <w:t>Year 2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5" w:after="55"/>
            </w:pPr>
            <w:r>
              <w:rPr>
                <w:b/>
                <w:i w:val="0"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Cloud Infrastructure (AWS/Render)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3.6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7.2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12.0 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Engineering Salaries (5 FTE → 12 FTE)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9.0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18.0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28.0 M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Sales &amp; Marketing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2.5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8.0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14.0 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Implementation &amp; Customer Success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1.8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5.0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9.0 M</w:t>
            </w:r>
          </w:p>
        </w:tc>
      </w:tr>
      <w:tr>
        <w:tc>
          <w:tcPr>
            <w:tcW w:type="dxa" w:w="2268"/>
            <w:shd w:val="clear" w:color="auto" w:fill="F0F7F8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Legal, Compliance &amp; KDPA Audit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0.8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1.2 M</w:t>
            </w:r>
          </w:p>
        </w:tc>
        <w:tc>
          <w:tcPr>
            <w:tcW w:type="dxa" w:w="2268"/>
            <w:shd w:val="clear" w:color="auto" w:fill="F0F7F8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1.5 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G&amp;A (Finance, HR, Office)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1.2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2.0 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b w:val="0"/>
                <w:i w:val="0"/>
                <w:color w:val="444D56"/>
                <w:sz w:val="18"/>
              </w:rPr>
              <w:t>KES 3.0 M</w:t>
            </w:r>
          </w:p>
        </w:tc>
      </w:tr>
      <w:tr>
        <w:tc>
          <w:tcPr>
            <w:tcW w:type="dxa" w:w="2268"/>
            <w:shd w:val="clear" w:color="auto" w:fill="0D2B55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TOTAL COSTS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18.9 M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41.4 M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67.5 M</w:t>
            </w:r>
          </w:p>
        </w:tc>
      </w:tr>
      <w:tr>
        <w:tc>
          <w:tcPr>
            <w:tcW w:type="dxa" w:w="2268"/>
            <w:shd w:val="clear" w:color="auto" w:fill="0D2B55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GROSS PROFIT (est.)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6.8 M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25.7 M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KES 70.5 M</w:t>
            </w:r>
          </w:p>
        </w:tc>
      </w:tr>
      <w:tr>
        <w:tc>
          <w:tcPr>
            <w:tcW w:type="dxa" w:w="2268"/>
            <w:shd w:val="clear" w:color="auto" w:fill="0D2B55"/>
          </w:tcPr>
          <w:p>
            <w:pPr>
              <w:jc w:val="left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GROSS MARGIN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26 %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38 %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  <w:spacing w:before="50" w:after="50"/>
            </w:pPr>
            <w:r>
              <w:rPr>
                <w:b/>
                <w:i w:val="0"/>
                <w:color w:val="FFFFFF"/>
                <w:sz w:val="18"/>
              </w:rPr>
              <w:t>51 %</w:t>
            </w:r>
          </w:p>
        </w:tc>
      </w:tr>
    </w:tbl>
    <w:p/>
    <w:p>
      <w:pPr>
        <w:spacing w:before="100" w:after="60"/>
      </w:pPr>
      <w:r>
        <w:rPr>
          <w:b/>
          <w:color w:val="00878A"/>
          <w:sz w:val="28"/>
        </w:rPr>
        <w:t>Market Opportunity</w:t>
      </w:r>
    </w:p>
    <w:p>
      <w:pPr>
        <w:spacing w:before="0" w:after="100"/>
      </w:pPr>
      <w:r>
        <w:t>Kenya has approximately 9,800 registered health facilities (Ministry of Health 2023), of which roughly 2,400 are private hospitals and specialist clinics — our primary addressable segment. Penetrating just 2 % of this market (≈ 48 facilities) achieves Year-3 targets. The broader East Africa region (Uganda, Tanzania, Rwanda) adds an estimated 4,200 comparable facilities, representing a medium-term expansion opportunity exceeding KES 1 B in addressable ARR.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878A"/>
          </w:tcPr>
          <w:p>
            <w:pPr>
              <w:jc w:val="center"/>
              <w:spacing w:before="120" w:after="30"/>
            </w:pPr>
            <w:r>
              <w:rPr>
                <w:b/>
                <w:i w:val="0"/>
                <w:color w:val="FFFFFF"/>
                <w:sz w:val="26"/>
              </w:rPr>
              <w:t>Ready to modernise your hospital?</w:t>
            </w:r>
          </w:p>
          <w:p>
            <w:pPr>
              <w:jc w:val="center"/>
              <w:spacing w:before="0" w:after="30"/>
            </w:pPr>
            <w:r>
              <w:rPr>
                <w:b w:val="0"/>
                <w:i w:val="0"/>
                <w:color w:val="CCF0F2"/>
                <w:sz w:val="21"/>
              </w:rPr>
              <w:t>Contact our team for a free 30-day pilot and live demo.</w:t>
            </w:r>
          </w:p>
          <w:p>
            <w:pPr>
              <w:jc w:val="center"/>
              <w:spacing w:before="0" w:after="100"/>
            </w:pPr>
            <w:r>
              <w:rPr>
                <w:b/>
                <w:i w:val="0"/>
                <w:color w:val="FFFFFF"/>
                <w:sz w:val="20"/>
              </w:rPr>
              <w:t>sales@medifleet.co.ke  ·  +254 700 000 000  ·  www.medifleet.co.ke</w:t>
            </w:r>
          </w:p>
        </w:tc>
      </w:tr>
    </w:tbl>
    <w:p/>
    <w:p>
      <w:pPr>
        <w:jc w:val="center"/>
        <w:spacing w:before="80" w:after="0"/>
      </w:pPr>
      <w:r>
        <w:rPr>
          <w:i/>
          <w:color w:val="99AABB"/>
          <w:sz w:val="15"/>
        </w:rPr>
        <w:t>This proposal is confidential and intended solely for the addressee. Revenue projections are estimates based on current market data and internal assumptions; actual results may vary. All prices exclusive of VAT. Prices valid for 90 days from date of issue.  |  MediFleet © 2026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D5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