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Quicksand" w:cs="Quicksand" w:eastAsia="Quicksand" w:hAnsi="Quicksand"/>
          <w:b/>
          <w:bCs/>
          <w:color w:val="004156"/>
          <w:sz w:val="36"/>
          <w:szCs w:val="36"/>
        </w:rPr>
        <w:t xml:space="preserve">Angsana Exchange</w:t>
      </w:r>
    </w:p>
    <w:p>
      <w:pPr>
        <w:spacing w:after="40"/>
      </w:pPr>
      <w:r>
        <w:rPr>
          <w:rFonts w:ascii="Quicksand" w:cs="Quicksand" w:eastAsia="Quicksand" w:hAnsi="Quicksand"/>
          <w:color w:val="3B7584"/>
          <w:sz w:val="28"/>
          <w:szCs w:val="28"/>
        </w:rPr>
        <w:t xml:space="preserve">Slice 7A — Steps 5 &amp; 6: Documents UI</w:t>
      </w:r>
    </w:p>
    <w:p>
      <w:pPr>
        <w:spacing w:after="300"/>
      </w:pPr>
      <w:r>
        <w:rPr>
          <w:rFonts w:ascii="Quicksand" w:cs="Quicksand" w:eastAsia="Quicksand" w:hAnsi="Quicksand"/>
          <w:color w:val="827786"/>
          <w:sz w:val="21"/>
          <w:szCs w:val="21"/>
        </w:rPr>
        <w:t xml:space="preserve">Implementation Specification for Cline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E0E0E0" w:sz="1"/>
              <w:left w:val="single" w:color="E0E0E0" w:sz="1"/>
              <w:bottom w:val="single" w:color="E0E0E0" w:sz="1"/>
              <w:right w:val="single" w:color="E0E0E0" w:sz="1"/>
            </w:tcBorders>
            <w:shd w:fill="004156" w:val="clear"/>
            <w:tcMar>
              <w:top w:type="dxa" w:w="60"/>
              <w:left w:type="dxa" w:w="100"/>
              <w:bottom w:type="dxa" w:w="60"/>
              <w:right w:type="dxa" w:w="100"/>
            </w:tcMar>
            <w:vAlign w:val="center"/>
          </w:tcPr>
          <w:p>
            <w:r>
              <w:rPr>
                <w:rFonts w:ascii="Quicksand" w:cs="Quicksand" w:eastAsia="Quicksand" w:hAnsi="Quicksand"/>
                <w:b/>
                <w:bCs/>
                <w:color w:val="FFFFFF"/>
                <w:sz w:val="19"/>
                <w:szCs w:val="19"/>
              </w:rPr>
              <w:t xml:space="preserve">Field</w:t>
            </w:r>
          </w:p>
        </w:tc>
        <w:tc>
          <w:tcPr>
            <w:tcW w:type="dxa" w:w="6506"/>
            <w:tcBorders>
              <w:top w:val="single" w:color="E0E0E0" w:sz="1"/>
              <w:left w:val="single" w:color="E0E0E0" w:sz="1"/>
              <w:bottom w:val="single" w:color="E0E0E0" w:sz="1"/>
              <w:right w:val="single" w:color="E0E0E0" w:sz="1"/>
            </w:tcBorders>
            <w:shd w:fill="004156" w:val="clear"/>
            <w:tcMar>
              <w:top w:type="dxa" w:w="60"/>
              <w:left w:type="dxa" w:w="100"/>
              <w:bottom w:type="dxa" w:w="60"/>
              <w:right w:type="dxa" w:w="100"/>
            </w:tcMar>
            <w:vAlign w:val="center"/>
          </w:tcPr>
          <w:p>
            <w:r>
              <w:rPr>
                <w:rFonts w:ascii="Quicksand" w:cs="Quicksand" w:eastAsia="Quicksand" w:hAnsi="Quicksand"/>
                <w:b/>
                <w:bCs/>
                <w:color w:val="FFFFFF"/>
                <w:sz w:val="19"/>
                <w:szCs w:val="19"/>
              </w:rPr>
              <w:t xml:space="preserve">Value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Prepared by</w:t>
            </w:r>
          </w:p>
        </w:tc>
        <w:tc>
          <w:tcPr>
            <w:tcW w:type="dxa" w:w="6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Keith / Claude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Date</w:t>
            </w:r>
          </w:p>
        </w:tc>
        <w:tc>
          <w:tcPr>
            <w:tcW w:type="dxa" w:w="6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10 April 2026</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Status</w:t>
            </w:r>
          </w:p>
        </w:tc>
        <w:tc>
          <w:tcPr>
            <w:tcW w:type="dxa" w:w="6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Ready for implementation</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Depends on</w:t>
            </w:r>
          </w:p>
        </w:tc>
        <w:tc>
          <w:tcPr>
            <w:tcW w:type="dxa" w:w="6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Slice 7A Steps 1–4 (complete, deployed)</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Repo</w:t>
            </w:r>
          </w:p>
        </w:tc>
        <w:tc>
          <w:tcPr>
            <w:tcW w:type="dxa" w:w="6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keithnew/angsana-exchange</w:t>
            </w:r>
          </w:p>
        </w:tc>
      </w:tr>
    </w:tbl>
    <w:p>
      <w:pPr>
        <w:spacing w:after="200"/>
      </w:pPr>
    </w:p>
    <w:p>
      <w:pPr>
        <w:pStyle w:val="Heading1"/>
        <w:spacing w:after="150" w:before="300"/>
      </w:pPr>
      <w:r>
        <w:t xml:space="preserve">1. What this slice delivers</w:t>
      </w:r>
    </w:p>
    <w:p>
      <w:pPr>
        <w:spacing w:after="120"/>
      </w:pPr>
      <w:r>
        <w:rPr>
          <w:rFonts w:ascii="Quicksand" w:cs="Quicksand" w:eastAsia="Quicksand" w:hAnsi="Quicksand"/>
          <w:sz w:val="21"/>
          <w:szCs w:val="21"/>
        </w:rPr>
        <w:t xml:space="preserve">A complete Documents UI replacing the current “Coming soon” placeholder at /clients/{clientId}/documents. Two audiences, one page component with role-based behaviour:</w:t>
      </w:r>
    </w:p>
    <w:p>
      <w:pPr>
        <w:pStyle w:val="ListParagraph"/>
        <w:numPr>
          <w:ilvl w:val="0"/>
          <w:numId w:val="2"/>
        </w:numPr>
        <w:spacing w:after="60"/>
      </w:pPr>
      <w:r>
        <w:rPr>
          <w:rFonts w:ascii="Quicksand" w:cs="Quicksand" w:eastAsia="Quicksand" w:hAnsi="Quicksand"/>
          <w:sz w:val="21"/>
          <w:szCs w:val="21"/>
        </w:rPr>
        <w:t xml:space="preserve">Internal users (internal-admin, internal-user) — full document management with Google editor integration</w:t>
      </w:r>
    </w:p>
    <w:p>
      <w:pPr>
        <w:pStyle w:val="ListParagraph"/>
        <w:numPr>
          <w:ilvl w:val="0"/>
          <w:numId w:val="2"/>
        </w:numPr>
        <w:spacing w:after="60"/>
      </w:pPr>
      <w:r>
        <w:rPr>
          <w:rFonts w:ascii="Quicksand" w:cs="Quicksand" w:eastAsia="Quicksand" w:hAnsi="Quicksand"/>
          <w:sz w:val="21"/>
          <w:szCs w:val="21"/>
        </w:rPr>
        <w:t xml:space="preserve">Client users (client-approver, client-viewer) — download-only document access with upload capability for approvers</w:t>
      </w:r>
    </w:p>
    <w:p>
      <w:pPr>
        <w:spacing w:after="120"/>
      </w:pPr>
      <w:r>
        <w:rPr>
          <w:rFonts w:ascii="Quicksand" w:cs="Quicksand" w:eastAsia="Quicksand" w:hAnsi="Quicksand"/>
          <w:sz w:val="21"/>
          <w:szCs w:val="21"/>
        </w:rPr>
        <w:t xml:space="preserve">Additionally, the Campaign detail page gains a Documents summary card showing files linked to that campaign.</w:t>
      </w:r>
    </w:p>
    <w:p>
      <w:pPr>
        <w:pBdr>
          <w:bottom w:val="single" w:color="3B7584" w:sz="4" w:space="8"/>
        </w:pBdr>
        <w:spacing w:after="200" w:before="200"/>
      </w:pPr>
    </w:p>
    <w:p>
      <w:pPr>
        <w:pStyle w:val="Heading1"/>
        <w:spacing w:after="150" w:before="300"/>
      </w:pPr>
      <w:r>
        <w:t xml:space="preserve">2. Page layout — Documents page</w:t>
      </w:r>
    </w:p>
    <w:p>
      <w:pPr>
        <w:pStyle w:val="Heading2"/>
        <w:spacing w:after="150" w:before="300"/>
      </w:pPr>
      <w:r>
        <w:t xml:space="preserve">2.1 Overall structure</w:t>
      </w:r>
    </w:p>
    <w:p>
      <w:pPr>
        <w:spacing w:after="120"/>
      </w:pPr>
      <w:r>
        <w:rPr>
          <w:rFonts w:ascii="Quicksand" w:cs="Quicksand" w:eastAsia="Quicksand" w:hAnsi="Quicksand"/>
          <w:sz w:val="21"/>
          <w:szCs w:val="21"/>
        </w:rPr>
        <w:t xml:space="preserve">Two-panel layout within the main content area:</w:t>
      </w:r>
    </w:p>
    <w:p>
      <w:pPr>
        <w:pStyle w:val="ListParagraph"/>
        <w:numPr>
          <w:ilvl w:val="0"/>
          <w:numId w:val="2"/>
        </w:numPr>
        <w:spacing w:after="60"/>
      </w:pPr>
      <w:r>
        <w:rPr>
          <w:rFonts w:ascii="Quicksand" w:cs="Quicksand" w:eastAsia="Quicksand" w:hAnsi="Quicksand"/>
          <w:b/>
          <w:bCs/>
          <w:sz w:val="21"/>
          <w:szCs w:val="21"/>
        </w:rPr>
        <w:t xml:space="preserve">Left panel (210px fixed width): </w:t>
      </w:r>
      <w:r>
        <w:rPr>
          <w:rFonts w:ascii="Quicksand" w:cs="Quicksand" w:eastAsia="Quicksand" w:hAnsi="Quicksand"/>
          <w:sz w:val="21"/>
          <w:szCs w:val="21"/>
        </w:rPr>
        <w:t xml:space="preserve">Folder tree navigation. Displays all folders from the documentFolders managed list, respecting the parent/child hierarchy (Scripts → Client Approved, Internal Working). Internal-only folders show an amber “internal” badge pill. Selected folder highlighted with left border accent (#3B7584) and subtle background.</w:t>
      </w:r>
    </w:p>
    <w:p>
      <w:pPr>
        <w:pStyle w:val="ListParagraph"/>
        <w:numPr>
          <w:ilvl w:val="0"/>
          <w:numId w:val="2"/>
        </w:numPr>
        <w:spacing w:after="60"/>
      </w:pPr>
      <w:r>
        <w:rPr>
          <w:rFonts w:ascii="Quicksand" w:cs="Quicksand" w:eastAsia="Quicksand" w:hAnsi="Quicksand"/>
          <w:b/>
          <w:bCs/>
          <w:sz w:val="21"/>
          <w:szCs w:val="21"/>
        </w:rPr>
        <w:t xml:space="preserve">Right panel (fluid): </w:t>
      </w:r>
      <w:r>
        <w:rPr>
          <w:rFonts w:ascii="Quicksand" w:cs="Quicksand" w:eastAsia="Quicksand" w:hAnsi="Quicksand"/>
          <w:sz w:val="21"/>
          <w:szCs w:val="21"/>
        </w:rPr>
        <w:t xml:space="preserve">File list for the selected folder OR grouped all-files view when no folder is selected.</w:t>
      </w:r>
    </w:p>
    <w:p>
      <w:pPr>
        <w:pStyle w:val="Heading2"/>
        <w:spacing w:after="150" w:before="300"/>
      </w:pPr>
      <w:r>
        <w:t xml:space="preserve">2.2 Page header</w:t>
      </w:r>
    </w:p>
    <w:p>
      <w:pPr>
        <w:spacing w:after="120"/>
      </w:pPr>
      <w:r>
        <w:rPr>
          <w:rFonts w:ascii="Quicksand" w:cs="Quicksand" w:eastAsia="Quicksand" w:hAnsi="Quicksand"/>
          <w:sz w:val="21"/>
          <w:szCs w:val="21"/>
        </w:rPr>
        <w:t xml:space="preserve">Top bar spanning both panels:</w:t>
      </w:r>
    </w:p>
    <w:p>
      <w:pPr>
        <w:pStyle w:val="ListParagraph"/>
        <w:numPr>
          <w:ilvl w:val="0"/>
          <w:numId w:val="2"/>
        </w:numPr>
        <w:spacing w:after="60"/>
      </w:pPr>
      <w:r>
        <w:rPr>
          <w:rFonts w:ascii="Quicksand" w:cs="Quicksand" w:eastAsia="Quicksand" w:hAnsi="Quicksand"/>
          <w:b/>
          <w:bCs/>
          <w:sz w:val="21"/>
          <w:szCs w:val="21"/>
        </w:rPr>
        <w:t xml:space="preserve">Left: </w:t>
      </w:r>
      <w:r>
        <w:rPr>
          <w:rFonts w:ascii="Quicksand" w:cs="Quicksand" w:eastAsia="Quicksand" w:hAnsi="Quicksand"/>
          <w:sz w:val="21"/>
          <w:szCs w:val="21"/>
        </w:rPr>
        <w:t xml:space="preserve">Page title “Documents” with client name subtitle below (e.g. “Cegid Group Spain”)</w:t>
      </w:r>
    </w:p>
    <w:p>
      <w:pPr>
        <w:pStyle w:val="ListParagraph"/>
        <w:numPr>
          <w:ilvl w:val="0"/>
          <w:numId w:val="2"/>
        </w:numPr>
        <w:spacing w:after="60"/>
      </w:pPr>
      <w:r>
        <w:rPr>
          <w:rFonts w:ascii="Quicksand" w:cs="Quicksand" w:eastAsia="Quicksand" w:hAnsi="Quicksand"/>
          <w:b/>
          <w:bCs/>
          <w:sz w:val="21"/>
          <w:szCs w:val="21"/>
        </w:rPr>
        <w:t xml:space="preserve">Right: </w:t>
      </w:r>
      <w:r>
        <w:rPr>
          <w:rFonts w:ascii="Quicksand" w:cs="Quicksand" w:eastAsia="Quicksand" w:hAnsi="Quicksand"/>
          <w:sz w:val="21"/>
          <w:szCs w:val="21"/>
        </w:rPr>
        <w:t xml:space="preserve">Campaign filter dropdown (pill-shaped, rounded). Default text “All campaigns”. Populated from client’s non-completed campaigns. When a campaign is selected, the file list filters to only show files whose campaignRef matches that campaign ID.</w:t>
      </w:r>
    </w:p>
    <w:p>
      <w:pPr>
        <w:pStyle w:val="Heading2"/>
        <w:spacing w:after="150" w:before="300"/>
      </w:pPr>
      <w:r>
        <w:t xml:space="preserve">2.3 Default view (no folder selected)</w:t>
      </w:r>
    </w:p>
    <w:p>
      <w:pPr>
        <w:spacing w:after="120"/>
      </w:pPr>
      <w:r>
        <w:rPr>
          <w:rFonts w:ascii="Quicksand" w:cs="Quicksand" w:eastAsia="Quicksand" w:hAnsi="Quicksand"/>
          <w:sz w:val="21"/>
          <w:szCs w:val="21"/>
        </w:rPr>
        <w:t xml:space="preserve">When the page loads (or when no folder is actively selected), the right panel shows all files grouped by folder:</w:t>
      </w:r>
    </w:p>
    <w:p>
      <w:pPr>
        <w:pStyle w:val="ListParagraph"/>
        <w:numPr>
          <w:ilvl w:val="0"/>
          <w:numId w:val="2"/>
        </w:numPr>
        <w:spacing w:after="60"/>
      </w:pPr>
      <w:r>
        <w:rPr>
          <w:rFonts w:ascii="Quicksand" w:cs="Quicksand" w:eastAsia="Quicksand" w:hAnsi="Quicksand"/>
          <w:sz w:val="21"/>
          <w:szCs w:val="21"/>
        </w:rPr>
        <w:t xml:space="preserve">Each folder shown as a group header with a small folder icon and folder name</w:t>
      </w:r>
    </w:p>
    <w:p>
      <w:pPr>
        <w:pStyle w:val="ListParagraph"/>
        <w:numPr>
          <w:ilvl w:val="0"/>
          <w:numId w:val="2"/>
        </w:numPr>
        <w:spacing w:after="60"/>
      </w:pPr>
      <w:r>
        <w:rPr>
          <w:rFonts w:ascii="Quicksand" w:cs="Quicksand" w:eastAsia="Quicksand" w:hAnsi="Quicksand"/>
          <w:sz w:val="21"/>
          <w:szCs w:val="21"/>
        </w:rPr>
        <w:t xml:space="preserve">Files listed underneath each folder header with: file name (clickable, tinted in info colour), upload date (short format: “15 Jan”)</w:t>
      </w:r>
    </w:p>
    <w:p>
      <w:pPr>
        <w:pStyle w:val="ListParagraph"/>
        <w:numPr>
          <w:ilvl w:val="0"/>
          <w:numId w:val="2"/>
        </w:numPr>
        <w:spacing w:after="60"/>
      </w:pPr>
      <w:r>
        <w:rPr>
          <w:rFonts w:ascii="Quicksand" w:cs="Quicksand" w:eastAsia="Quicksand" w:hAnsi="Quicksand"/>
          <w:sz w:val="21"/>
          <w:szCs w:val="21"/>
        </w:rPr>
        <w:t xml:space="preserve">Empty folders shown with greyed-out folder name and italic “No documents” text</w:t>
      </w:r>
    </w:p>
    <w:p>
      <w:pPr>
        <w:pStyle w:val="ListParagraph"/>
        <w:numPr>
          <w:ilvl w:val="0"/>
          <w:numId w:val="2"/>
        </w:numPr>
        <w:spacing w:after="60"/>
      </w:pPr>
      <w:r>
        <w:rPr>
          <w:rFonts w:ascii="Quicksand" w:cs="Quicksand" w:eastAsia="Quicksand" w:hAnsi="Quicksand"/>
          <w:sz w:val="21"/>
          <w:szCs w:val="21"/>
        </w:rPr>
        <w:t xml:space="preserve">Internal-only folders show the amber “internal” badge next to the folder name</w:t>
      </w:r>
    </w:p>
    <w:p>
      <w:pPr>
        <w:pStyle w:val="ListParagraph"/>
        <w:numPr>
          <w:ilvl w:val="0"/>
          <w:numId w:val="2"/>
        </w:numPr>
        <w:spacing w:after="60"/>
      </w:pPr>
      <w:r>
        <w:rPr>
          <w:rFonts w:ascii="Quicksand" w:cs="Quicksand" w:eastAsia="Quicksand" w:hAnsi="Quicksand"/>
          <w:sz w:val="21"/>
          <w:szCs w:val="21"/>
        </w:rPr>
        <w:t xml:space="preserve">Container folders (isContainer: true) are not shown as separate groups — their children are shown directly (e.g. “Scripts / Client Approved” as the group header)</w:t>
      </w:r>
    </w:p>
    <w:p>
      <w:pPr>
        <w:pStyle w:val="ListParagraph"/>
        <w:numPr>
          <w:ilvl w:val="0"/>
          <w:numId w:val="2"/>
        </w:numPr>
        <w:spacing w:after="60"/>
      </w:pPr>
      <w:r>
        <w:rPr>
          <w:rFonts w:ascii="Quicksand" w:cs="Quicksand" w:eastAsia="Quicksand" w:hAnsi="Quicksand"/>
          <w:b/>
          <w:bCs/>
          <w:sz w:val="21"/>
          <w:szCs w:val="21"/>
        </w:rPr>
        <w:t xml:space="preserve">Role filtering: </w:t>
      </w:r>
      <w:r>
        <w:rPr>
          <w:rFonts w:ascii="Quicksand" w:cs="Quicksand" w:eastAsia="Quicksand" w:hAnsi="Quicksand"/>
          <w:sz w:val="21"/>
          <w:szCs w:val="21"/>
        </w:rPr>
        <w:t xml:space="preserve">Client users only see folders where visibility is “client-visible”. Internal users see all folders.</w:t>
      </w:r>
    </w:p>
    <w:p>
      <w:pPr>
        <w:pStyle w:val="Heading2"/>
        <w:spacing w:after="150" w:before="300"/>
      </w:pPr>
      <w:r>
        <w:t xml:space="preserve">2.4 Folder selected view</w:t>
      </w:r>
    </w:p>
    <w:p>
      <w:pPr>
        <w:spacing w:after="120"/>
      </w:pPr>
      <w:r>
        <w:rPr>
          <w:rFonts w:ascii="Quicksand" w:cs="Quicksand" w:eastAsia="Quicksand" w:hAnsi="Quicksand"/>
          <w:sz w:val="21"/>
          <w:szCs w:val="21"/>
        </w:rPr>
        <w:t xml:space="preserve">When a folder is selected from the tree, the right panel shows:</w:t>
      </w:r>
    </w:p>
    <w:p>
      <w:pPr>
        <w:pStyle w:val="ListParagraph"/>
        <w:numPr>
          <w:ilvl w:val="0"/>
          <w:numId w:val="2"/>
        </w:numPr>
        <w:spacing w:after="60"/>
      </w:pPr>
      <w:r>
        <w:rPr>
          <w:rFonts w:ascii="Quicksand" w:cs="Quicksand" w:eastAsia="Quicksand" w:hAnsi="Quicksand"/>
          <w:b/>
          <w:bCs/>
          <w:sz w:val="21"/>
          <w:szCs w:val="21"/>
        </w:rPr>
        <w:t xml:space="preserve">Folder header bar: </w:t>
      </w:r>
      <w:r>
        <w:rPr>
          <w:rFonts w:ascii="Quicksand" w:cs="Quicksand" w:eastAsia="Quicksand" w:hAnsi="Quicksand"/>
          <w:sz w:val="21"/>
          <w:szCs w:val="21"/>
        </w:rPr>
        <w:t xml:space="preserve">Folder name (left), file count subtitle, Upload button (right, pill-shaped, #3B7584 background, white text)</w:t>
      </w:r>
    </w:p>
    <w:p>
      <w:pPr>
        <w:pStyle w:val="ListParagraph"/>
        <w:numPr>
          <w:ilvl w:val="0"/>
          <w:numId w:val="2"/>
        </w:numPr>
        <w:spacing w:after="60"/>
      </w:pPr>
      <w:r>
        <w:rPr>
          <w:rFonts w:ascii="Quicksand" w:cs="Quicksand" w:eastAsia="Quicksand" w:hAnsi="Quicksand"/>
          <w:b/>
          <w:bCs/>
          <w:sz w:val="21"/>
          <w:szCs w:val="21"/>
        </w:rPr>
        <w:t xml:space="preserve">File list: </w:t>
      </w:r>
      <w:r>
        <w:rPr>
          <w:rFonts w:ascii="Quicksand" w:cs="Quicksand" w:eastAsia="Quicksand" w:hAnsi="Quicksand"/>
          <w:sz w:val="21"/>
          <w:szCs w:val="21"/>
        </w:rPr>
        <w:t xml:space="preserve">Each file as a row with: document icon (SVG, teal stroke), file name (clickable link), metadata line below name (upload date + “by” + uploader name), campaign tag pill (teal background if tagged, italic “No campaign” if not), three-dot menu (horizontal dots)</w:t>
      </w:r>
    </w:p>
    <w:p>
      <w:pPr>
        <w:pStyle w:val="Heading2"/>
        <w:spacing w:after="150" w:before="300"/>
      </w:pPr>
      <w:r>
        <w:t xml:space="preserve">2.5 Upload button visibility</w:t>
      </w:r>
    </w:p>
    <w:p>
      <w:pPr>
        <w:spacing w:after="120"/>
      </w:pPr>
      <w:r>
        <w:rPr>
          <w:rFonts w:ascii="Quicksand" w:cs="Quicksand" w:eastAsia="Quicksand" w:hAnsi="Quicksand"/>
          <w:sz w:val="21"/>
          <w:szCs w:val="21"/>
        </w:rPr>
        <w:t xml:space="preserve">The Upload button appears only when ALL of the following are true:</w:t>
      </w:r>
    </w:p>
    <w:p>
      <w:pPr>
        <w:pStyle w:val="ListParagraph"/>
        <w:numPr>
          <w:ilvl w:val="0"/>
          <w:numId w:val="3"/>
        </w:numPr>
        <w:spacing w:after="60"/>
      </w:pPr>
      <w:r>
        <w:rPr>
          <w:rFonts w:ascii="Quicksand" w:cs="Quicksand" w:eastAsia="Quicksand" w:hAnsi="Quicksand"/>
          <w:sz w:val="21"/>
          <w:szCs w:val="21"/>
        </w:rPr>
        <w:t xml:space="preserve">A folder is selected (not the default grouped view)</w:t>
      </w:r>
    </w:p>
    <w:p>
      <w:pPr>
        <w:pStyle w:val="ListParagraph"/>
        <w:numPr>
          <w:ilvl w:val="0"/>
          <w:numId w:val="3"/>
        </w:numPr>
        <w:spacing w:after="60"/>
      </w:pPr>
      <w:r>
        <w:rPr>
          <w:rFonts w:ascii="Quicksand" w:cs="Quicksand" w:eastAsia="Quicksand" w:hAnsi="Quicksand"/>
          <w:sz w:val="21"/>
          <w:szCs w:val="21"/>
        </w:rPr>
        <w:t xml:space="preserve">The folder is not a container folder (isContainer must be false)</w:t>
      </w:r>
    </w:p>
    <w:p>
      <w:pPr>
        <w:pStyle w:val="ListParagraph"/>
        <w:numPr>
          <w:ilvl w:val="0"/>
          <w:numId w:val="3"/>
        </w:numPr>
        <w:spacing w:after="60"/>
      </w:pPr>
      <w:r>
        <w:rPr>
          <w:rFonts w:ascii="Quicksand" w:cs="Quicksand" w:eastAsia="Quicksand" w:hAnsi="Quicksand"/>
          <w:sz w:val="21"/>
          <w:szCs w:val="21"/>
        </w:rPr>
        <w:t xml:space="preserve">The user’s role permits upload to that folder:</w:t>
      </w:r>
    </w:p>
    <w:p>
      <w:pPr>
        <w:pStyle w:val="ListParagraph"/>
        <w:numPr>
          <w:ilvl w:val="0"/>
          <w:numId w:val="4"/>
        </w:numPr>
        <w:spacing w:after="60"/>
      </w:pPr>
      <w:r>
        <w:rPr>
          <w:rFonts w:ascii="Quicksand" w:cs="Quicksand" w:eastAsia="Quicksand" w:hAnsi="Quicksand"/>
          <w:sz w:val="21"/>
          <w:szCs w:val="21"/>
        </w:rPr>
        <w:t xml:space="preserve">internal-admin / internal-user: can upload to any non-container folder</w:t>
      </w:r>
    </w:p>
    <w:p>
      <w:pPr>
        <w:pStyle w:val="ListParagraph"/>
        <w:numPr>
          <w:ilvl w:val="0"/>
          <w:numId w:val="4"/>
        </w:numPr>
        <w:spacing w:after="60"/>
      </w:pPr>
      <w:r>
        <w:rPr>
          <w:rFonts w:ascii="Quicksand" w:cs="Quicksand" w:eastAsia="Quicksand" w:hAnsi="Quicksand"/>
          <w:sz w:val="21"/>
          <w:szCs w:val="21"/>
        </w:rPr>
        <w:t xml:space="preserve">client-approver: can upload to Client Material, Targeting, TLM Ready Material, AI Source Documents, General only</w:t>
      </w:r>
    </w:p>
    <w:p>
      <w:pPr>
        <w:pStyle w:val="ListParagraph"/>
        <w:numPr>
          <w:ilvl w:val="0"/>
          <w:numId w:val="4"/>
        </w:numPr>
        <w:spacing w:after="60"/>
      </w:pPr>
      <w:r>
        <w:rPr>
          <w:rFonts w:ascii="Quicksand" w:cs="Quicksand" w:eastAsia="Quicksand" w:hAnsi="Quicksand"/>
          <w:sz w:val="21"/>
          <w:szCs w:val="21"/>
        </w:rPr>
        <w:t xml:space="preserve">client-viewer: cannot upload</w:t>
      </w:r>
    </w:p>
    <w:p>
      <w:pPr>
        <w:pStyle w:val="Heading2"/>
        <w:spacing w:after="150" w:before="300"/>
      </w:pPr>
      <w:r>
        <w:t xml:space="preserve">2.6 Campaign filter behaviour</w:t>
      </w:r>
    </w:p>
    <w:p>
      <w:pPr>
        <w:spacing w:after="120"/>
      </w:pPr>
      <w:r>
        <w:rPr>
          <w:rFonts w:ascii="Quicksand" w:cs="Quicksand" w:eastAsia="Quicksand" w:hAnsi="Quicksand"/>
          <w:sz w:val="21"/>
          <w:szCs w:val="21"/>
        </w:rPr>
        <w:t xml:space="preserve">When a campaign is selected in the filter dropdown:</w:t>
      </w:r>
    </w:p>
    <w:p>
      <w:pPr>
        <w:pStyle w:val="ListParagraph"/>
        <w:numPr>
          <w:ilvl w:val="0"/>
          <w:numId w:val="2"/>
        </w:numPr>
        <w:spacing w:after="60"/>
      </w:pPr>
      <w:r>
        <w:rPr>
          <w:rFonts w:ascii="Quicksand" w:cs="Quicksand" w:eastAsia="Quicksand" w:hAnsi="Quicksand"/>
          <w:sz w:val="21"/>
          <w:szCs w:val="21"/>
        </w:rPr>
        <w:t xml:space="preserve">File list shows only files whose campaignRef matches the selected campaign</w:t>
      </w:r>
    </w:p>
    <w:p>
      <w:pPr>
        <w:pStyle w:val="ListParagraph"/>
        <w:numPr>
          <w:ilvl w:val="0"/>
          <w:numId w:val="2"/>
        </w:numPr>
        <w:spacing w:after="60"/>
      </w:pPr>
      <w:r>
        <w:rPr>
          <w:rFonts w:ascii="Quicksand" w:cs="Quicksand" w:eastAsia="Quicksand" w:hAnsi="Quicksand"/>
          <w:sz w:val="21"/>
          <w:szCs w:val="21"/>
        </w:rPr>
        <w:t xml:space="preserve">In grouped view: empty folders are shown with greyed-out name (not hidden)</w:t>
      </w:r>
    </w:p>
    <w:p>
      <w:pPr>
        <w:pStyle w:val="ListParagraph"/>
        <w:numPr>
          <w:ilvl w:val="0"/>
          <w:numId w:val="2"/>
        </w:numPr>
        <w:spacing w:after="60"/>
      </w:pPr>
      <w:r>
        <w:rPr>
          <w:rFonts w:ascii="Quicksand" w:cs="Quicksand" w:eastAsia="Quicksand" w:hAnsi="Quicksand"/>
          <w:sz w:val="21"/>
          <w:szCs w:val="21"/>
        </w:rPr>
        <w:t xml:space="preserve">In folder view: empty folders in tree are shown with greyed-out text</w:t>
      </w:r>
    </w:p>
    <w:p>
      <w:pPr>
        <w:pStyle w:val="ListParagraph"/>
        <w:numPr>
          <w:ilvl w:val="0"/>
          <w:numId w:val="2"/>
        </w:numPr>
        <w:spacing w:after="60"/>
      </w:pPr>
      <w:r>
        <w:rPr>
          <w:rFonts w:ascii="Quicksand" w:cs="Quicksand" w:eastAsia="Quicksand" w:hAnsi="Quicksand"/>
          <w:sz w:val="21"/>
          <w:szCs w:val="21"/>
        </w:rPr>
        <w:t xml:space="preserve">The URL should include a query parameter for the campaign filter so it can be linked to from the Campaign detail page: /clients/{clientId}/documents?campaign={campaignId}</w:t>
      </w:r>
    </w:p>
    <w:p>
      <w:pPr>
        <w:pBdr>
          <w:bottom w:val="single" w:color="3B7584" w:sz="4" w:space="8"/>
        </w:pBdr>
        <w:spacing w:after="200" w:before="200"/>
      </w:pPr>
    </w:p>
    <w:p>
      <w:pPr>
        <w:pStyle w:val="Heading1"/>
        <w:spacing w:after="150" w:before="300"/>
      </w:pPr>
      <w:r>
        <w:t xml:space="preserve">3. File interactions</w:t>
      </w:r>
    </w:p>
    <w:p>
      <w:pPr>
        <w:pStyle w:val="Heading2"/>
        <w:spacing w:after="150" w:before="300"/>
      </w:pPr>
      <w:r>
        <w:t xml:space="preserve">3.1 Click file name — role-dependent behaviour</w:t>
      </w:r>
    </w:p>
    <w:p>
      <w:pPr>
        <w:spacing w:after="120"/>
      </w:pPr>
      <w:r>
        <w:rPr>
          <w:rFonts w:ascii="Quicksand" w:cs="Quicksand" w:eastAsia="Quicksand" w:hAnsi="Quicksand"/>
          <w:sz w:val="21"/>
          <w:szCs w:val="21"/>
        </w:rPr>
        <w:t xml:space="preserve">The file name is a clickable link. The action depends on the user’s role: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506"/>
      </w:tblGrid>
      <w:tr>
        <w:tc>
          <w:tcPr>
            <w:tcW w:type="dxa" w:w="1600"/>
            <w:tcBorders>
              <w:top w:val="single" w:color="E0E0E0" w:sz="1"/>
              <w:left w:val="single" w:color="E0E0E0" w:sz="1"/>
              <w:bottom w:val="single" w:color="E0E0E0" w:sz="1"/>
              <w:right w:val="single" w:color="E0E0E0" w:sz="1"/>
            </w:tcBorders>
            <w:shd w:fill="004156" w:val="clear"/>
            <w:tcMar>
              <w:top w:type="dxa" w:w="60"/>
              <w:left w:type="dxa" w:w="100"/>
              <w:bottom w:type="dxa" w:w="60"/>
              <w:right w:type="dxa" w:w="100"/>
            </w:tcMar>
            <w:vAlign w:val="center"/>
          </w:tcPr>
          <w:p>
            <w:r>
              <w:rPr>
                <w:rFonts w:ascii="Quicksand" w:cs="Quicksand" w:eastAsia="Quicksand" w:hAnsi="Quicksand"/>
                <w:b/>
                <w:bCs/>
                <w:color w:val="FFFFFF"/>
                <w:sz w:val="19"/>
                <w:szCs w:val="19"/>
              </w:rPr>
              <w:t xml:space="preserve">Role</w:t>
            </w:r>
          </w:p>
        </w:tc>
        <w:tc>
          <w:tcPr>
            <w:tcW w:type="dxa" w:w="2400"/>
            <w:tcBorders>
              <w:top w:val="single" w:color="E0E0E0" w:sz="1"/>
              <w:left w:val="single" w:color="E0E0E0" w:sz="1"/>
              <w:bottom w:val="single" w:color="E0E0E0" w:sz="1"/>
              <w:right w:val="single" w:color="E0E0E0" w:sz="1"/>
            </w:tcBorders>
            <w:shd w:fill="004156" w:val="clear"/>
            <w:tcMar>
              <w:top w:type="dxa" w:w="60"/>
              <w:left w:type="dxa" w:w="100"/>
              <w:bottom w:type="dxa" w:w="60"/>
              <w:right w:type="dxa" w:w="100"/>
            </w:tcMar>
            <w:vAlign w:val="center"/>
          </w:tcPr>
          <w:p>
            <w:r>
              <w:rPr>
                <w:rFonts w:ascii="Quicksand" w:cs="Quicksand" w:eastAsia="Quicksand" w:hAnsi="Quicksand"/>
                <w:b/>
                <w:bCs/>
                <w:color w:val="FFFFFF"/>
                <w:sz w:val="19"/>
                <w:szCs w:val="19"/>
              </w:rPr>
              <w:t xml:space="preserve">Click action</w:t>
            </w:r>
          </w:p>
        </w:tc>
        <w:tc>
          <w:tcPr>
            <w:tcW w:type="dxa" w:w="5506"/>
            <w:tcBorders>
              <w:top w:val="single" w:color="E0E0E0" w:sz="1"/>
              <w:left w:val="single" w:color="E0E0E0" w:sz="1"/>
              <w:bottom w:val="single" w:color="E0E0E0" w:sz="1"/>
              <w:right w:val="single" w:color="E0E0E0" w:sz="1"/>
            </w:tcBorders>
            <w:shd w:fill="004156" w:val="clear"/>
            <w:tcMar>
              <w:top w:type="dxa" w:w="60"/>
              <w:left w:type="dxa" w:w="100"/>
              <w:bottom w:type="dxa" w:w="60"/>
              <w:right w:type="dxa" w:w="100"/>
            </w:tcMar>
            <w:vAlign w:val="center"/>
          </w:tcPr>
          <w:p>
            <w:r>
              <w:rPr>
                <w:rFonts w:ascii="Quicksand" w:cs="Quicksand" w:eastAsia="Quicksand" w:hAnsi="Quicksand"/>
                <w:b/>
                <w:bCs/>
                <w:color w:val="FFFFFF"/>
                <w:sz w:val="19"/>
                <w:szCs w:val="19"/>
              </w:rPr>
              <w:t xml:space="preserve">How it works</w:t>
            </w:r>
          </w:p>
        </w:tc>
      </w:tr>
      <w:tr>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internal-admin</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Opens file in Google editor (Docs/Sheets/Slides)</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Opens a new browser tab to the Google Drive file URL. The URL is the web editor URL for the file’s mimeType (see section 3.2). Non-Google files (PDF, xlsx, docx uploads) open the Drive preview.</w:t>
            </w:r>
          </w:p>
        </w:tc>
      </w:tr>
      <w:tr>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internal-user</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Opens file in Google editor (same as admin)</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Same behaviour as internal-admin.</w:t>
            </w:r>
          </w:p>
        </w:tc>
      </w:tr>
      <w:tr>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client-approver</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Downloads the file</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Triggers download via the Exchange streaming endpoint /api/clients/{clientId}/documents/download/{fileId}. Google Docs become PDF, Sheets become xlsx.</w:t>
            </w:r>
          </w:p>
        </w:tc>
      </w:tr>
      <w:tr>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client-viewer</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Downloads the file</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Same download behaviour as client-approver.</w:t>
            </w:r>
          </w:p>
        </w:tc>
      </w:tr>
    </w:tbl>
    <w:p>
      <w:pPr>
        <w:spacing w:after="150"/>
      </w:pPr>
    </w:p>
    <w:p>
      <w:pPr>
        <w:pStyle w:val="Heading2"/>
        <w:spacing w:after="150" w:before="300"/>
      </w:pPr>
      <w:r>
        <w:t xml:space="preserve">3.2 Google editor URLs for internal users</w:t>
      </w:r>
    </w:p>
    <w:p>
      <w:pPr>
        <w:spacing w:after="120"/>
      </w:pPr>
      <w:r>
        <w:rPr>
          <w:rFonts w:ascii="Quicksand" w:cs="Quicksand" w:eastAsia="Quicksand" w:hAnsi="Quicksand"/>
          <w:sz w:val="21"/>
          <w:szCs w:val="21"/>
        </w:rPr>
        <w:t xml:space="preserve">When an internal user clicks a file name, construct the Google editor URL based on the file’s mimeType from the Firestore registry or Drive API response:</w:t>
      </w:r>
    </w:p>
    <w:p>
      <w:pPr>
        <w:pStyle w:val="ListParagraph"/>
        <w:numPr>
          <w:ilvl w:val="0"/>
          <w:numId w:val="2"/>
        </w:numPr>
        <w:spacing w:after="60"/>
      </w:pPr>
      <w:r>
        <w:rPr>
          <w:rFonts w:ascii="Courier New" w:cs="Courier New" w:eastAsia="Courier New" w:hAnsi="Courier New"/>
          <w:color w:val="3B4A55"/>
          <w:sz w:val="19"/>
          <w:szCs w:val="19"/>
        </w:rPr>
        <w:t xml:space="preserve">application/vnd.google-apps.document</w:t>
      </w:r>
      <w:r>
        <w:rPr>
          <w:rFonts w:ascii="Quicksand" w:cs="Quicksand" w:eastAsia="Quicksand" w:hAnsi="Quicksand"/>
          <w:sz w:val="21"/>
          <w:szCs w:val="21"/>
        </w:rPr>
        <w:t xml:space="preserve"> → https://docs.google.com/document/d/{driveFileId}/edit</w:t>
      </w:r>
    </w:p>
    <w:p>
      <w:pPr>
        <w:pStyle w:val="ListParagraph"/>
        <w:numPr>
          <w:ilvl w:val="0"/>
          <w:numId w:val="2"/>
        </w:numPr>
        <w:spacing w:after="60"/>
      </w:pPr>
      <w:r>
        <w:rPr>
          <w:rFonts w:ascii="Courier New" w:cs="Courier New" w:eastAsia="Courier New" w:hAnsi="Courier New"/>
          <w:color w:val="3B4A55"/>
          <w:sz w:val="19"/>
          <w:szCs w:val="19"/>
        </w:rPr>
        <w:t xml:space="preserve">application/vnd.google-apps.spreadsheet</w:t>
      </w:r>
      <w:r>
        <w:rPr>
          <w:rFonts w:ascii="Quicksand" w:cs="Quicksand" w:eastAsia="Quicksand" w:hAnsi="Quicksand"/>
          <w:sz w:val="21"/>
          <w:szCs w:val="21"/>
        </w:rPr>
        <w:t xml:space="preserve"> → https://docs.google.com/spreadsheets/d/{driveFileId}/edit</w:t>
      </w:r>
    </w:p>
    <w:p>
      <w:pPr>
        <w:pStyle w:val="ListParagraph"/>
        <w:numPr>
          <w:ilvl w:val="0"/>
          <w:numId w:val="2"/>
        </w:numPr>
        <w:spacing w:after="60"/>
      </w:pPr>
      <w:r>
        <w:rPr>
          <w:rFonts w:ascii="Courier New" w:cs="Courier New" w:eastAsia="Courier New" w:hAnsi="Courier New"/>
          <w:color w:val="3B4A55"/>
          <w:sz w:val="19"/>
          <w:szCs w:val="19"/>
        </w:rPr>
        <w:t xml:space="preserve">application/vnd.google-apps.presentation</w:t>
      </w:r>
      <w:r>
        <w:rPr>
          <w:rFonts w:ascii="Quicksand" w:cs="Quicksand" w:eastAsia="Quicksand" w:hAnsi="Quicksand"/>
          <w:sz w:val="21"/>
          <w:szCs w:val="21"/>
        </w:rPr>
        <w:t xml:space="preserve"> → https://docs.google.com/presentation/d/{driveFileId}/edit</w:t>
      </w:r>
    </w:p>
    <w:p>
      <w:pPr>
        <w:pStyle w:val="ListParagraph"/>
        <w:numPr>
          <w:ilvl w:val="0"/>
          <w:numId w:val="2"/>
        </w:numPr>
        <w:spacing w:after="60"/>
      </w:pPr>
      <w:r>
        <w:rPr>
          <w:rFonts w:ascii="Quicksand" w:cs="Quicksand" w:eastAsia="Quicksand" w:hAnsi="Quicksand"/>
          <w:sz w:val="21"/>
          <w:szCs w:val="21"/>
        </w:rPr>
        <w:t xml:space="preserve">All other mimeTypes → https://drive.google.com/file/d/{driveFileId}/view</w:t>
      </w:r>
    </w:p>
    <w:p>
      <w:pPr>
        <w:spacing w:after="120"/>
      </w:pPr>
      <w:r>
        <w:rPr>
          <w:rFonts w:ascii="Quicksand" w:cs="Quicksand" w:eastAsia="Quicksand" w:hAnsi="Quicksand"/>
          <w:i/>
          <w:iCs/>
          <w:color w:val="827786"/>
          <w:sz w:val="21"/>
          <w:szCs w:val="21"/>
        </w:rPr>
        <w:t xml:space="preserve">Note: internal users are Angsana staff with Google Workspace accounts. They have access to the Shared Drive as organisational members. The Google editor opens directly — no additional auth required.</w:t>
      </w:r>
    </w:p>
    <w:p>
      <w:pPr>
        <w:pStyle w:val="Heading2"/>
        <w:spacing w:after="150" w:before="300"/>
      </w:pPr>
      <w:r>
        <w:t xml:space="preserve">3.3 Three-dot menu actions</w:t>
      </w:r>
    </w:p>
    <w:p>
      <w:pPr>
        <w:spacing w:after="120"/>
      </w:pPr>
      <w:r>
        <w:rPr>
          <w:rFonts w:ascii="Quicksand" w:cs="Quicksand" w:eastAsia="Quicksand" w:hAnsi="Quicksand"/>
          <w:sz w:val="21"/>
          <w:szCs w:val="21"/>
        </w:rPr>
        <w:t xml:space="preserve">Each file row has a three-dot menu (horizontal dots icon). Menu items are role-dependent: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506"/>
      </w:tblGrid>
      <w:tr>
        <w:tc>
          <w:tcPr>
            <w:tcW w:type="dxa" w:w="1800"/>
            <w:tcBorders>
              <w:top w:val="single" w:color="E0E0E0" w:sz="1"/>
              <w:left w:val="single" w:color="E0E0E0" w:sz="1"/>
              <w:bottom w:val="single" w:color="E0E0E0" w:sz="1"/>
              <w:right w:val="single" w:color="E0E0E0" w:sz="1"/>
            </w:tcBorders>
            <w:shd w:fill="004156" w:val="clear"/>
            <w:tcMar>
              <w:top w:type="dxa" w:w="60"/>
              <w:left w:type="dxa" w:w="100"/>
              <w:bottom w:type="dxa" w:w="60"/>
              <w:right w:type="dxa" w:w="100"/>
            </w:tcMar>
            <w:vAlign w:val="center"/>
          </w:tcPr>
          <w:p>
            <w:r>
              <w:rPr>
                <w:rFonts w:ascii="Quicksand" w:cs="Quicksand" w:eastAsia="Quicksand" w:hAnsi="Quicksand"/>
                <w:b/>
                <w:bCs/>
                <w:color w:val="FFFFFF"/>
                <w:sz w:val="19"/>
                <w:szCs w:val="19"/>
              </w:rPr>
              <w:t xml:space="preserve">Action</w:t>
            </w:r>
          </w:p>
        </w:tc>
        <w:tc>
          <w:tcPr>
            <w:tcW w:type="dxa" w:w="2200"/>
            <w:tcBorders>
              <w:top w:val="single" w:color="E0E0E0" w:sz="1"/>
              <w:left w:val="single" w:color="E0E0E0" w:sz="1"/>
              <w:bottom w:val="single" w:color="E0E0E0" w:sz="1"/>
              <w:right w:val="single" w:color="E0E0E0" w:sz="1"/>
            </w:tcBorders>
            <w:shd w:fill="004156" w:val="clear"/>
            <w:tcMar>
              <w:top w:type="dxa" w:w="60"/>
              <w:left w:type="dxa" w:w="100"/>
              <w:bottom w:type="dxa" w:w="60"/>
              <w:right w:type="dxa" w:w="100"/>
            </w:tcMar>
            <w:vAlign w:val="center"/>
          </w:tcPr>
          <w:p>
            <w:r>
              <w:rPr>
                <w:rFonts w:ascii="Quicksand" w:cs="Quicksand" w:eastAsia="Quicksand" w:hAnsi="Quicksand"/>
                <w:b/>
                <w:bCs/>
                <w:color w:val="FFFFFF"/>
                <w:sz w:val="19"/>
                <w:szCs w:val="19"/>
              </w:rPr>
              <w:t xml:space="preserve">Roles</w:t>
            </w:r>
          </w:p>
        </w:tc>
        <w:tc>
          <w:tcPr>
            <w:tcW w:type="dxa" w:w="5506"/>
            <w:tcBorders>
              <w:top w:val="single" w:color="E0E0E0" w:sz="1"/>
              <w:left w:val="single" w:color="E0E0E0" w:sz="1"/>
              <w:bottom w:val="single" w:color="E0E0E0" w:sz="1"/>
              <w:right w:val="single" w:color="E0E0E0" w:sz="1"/>
            </w:tcBorders>
            <w:shd w:fill="004156" w:val="clear"/>
            <w:tcMar>
              <w:top w:type="dxa" w:w="60"/>
              <w:left w:type="dxa" w:w="100"/>
              <w:bottom w:type="dxa" w:w="60"/>
              <w:right w:type="dxa" w:w="100"/>
            </w:tcMar>
            <w:vAlign w:val="center"/>
          </w:tcPr>
          <w:p>
            <w:r>
              <w:rPr>
                <w:rFonts w:ascii="Quicksand" w:cs="Quicksand" w:eastAsia="Quicksand" w:hAnsi="Quicksand"/>
                <w:b/>
                <w:bCs/>
                <w:color w:val="FFFFFF"/>
                <w:sz w:val="19"/>
                <w:szCs w:val="19"/>
              </w:rPr>
              <w:t xml:space="preserve">Behaviour</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Open in Google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internal-admin, internal-user</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Same as clicking the file name — opens Google editor URL in new tab. Provides an explicit menu option for discoverability.</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Download</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All roles</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Downloads file via Exchange streaming endpoint. Google Workspace files are exported (Docs→PDF, Sheets→xlsx, Slides→pptx).</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Rename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internal-admin, internal-user</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Opens inline rename input on the file row. Submits to PATCH /api/clients/{clientId}/documents/{documentId}/rename. Extension auto-preserved by the API.</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Link to campaign</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internal-admin, internal-user</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Opens a dropdown/popover listing the client’s non-completed campaigns plus a “Remove link” option. Submits to PATCH /api/clients/{clientId}/documents/{documentId}/campaign. Updates the campaign tag pill immediately.</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Delete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internal-admin, internal-user</w:t>
            </w:r>
          </w:p>
        </w:tc>
        <w:tc>
          <w:tcPr>
            <w:tcW w:type="dxa" w:w="55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Confirmation dialog (“Delete [filename]? This will move the file to trash.”). Submits to DELETE /api/clients/{clientId}/documents/{documentId}. Soft-delete: Firestore status → deleted, Drive file trashed. Row removed from list.</w:t>
            </w:r>
          </w:p>
        </w:tc>
      </w:tr>
    </w:tbl>
    <w:p>
      <w:pPr>
        <w:spacing w:after="150"/>
      </w:pPr>
    </w:p>
    <w:p>
      <w:pPr>
        <w:spacing w:after="120"/>
      </w:pPr>
      <w:r>
        <w:rPr>
          <w:rFonts w:ascii="Quicksand" w:cs="Quicksand" w:eastAsia="Quicksand" w:hAnsi="Quicksand"/>
          <w:b/>
          <w:bCs/>
          <w:sz w:val="21"/>
          <w:szCs w:val="21"/>
        </w:rPr>
        <w:t xml:space="preserve">Menu order: </w:t>
      </w:r>
      <w:r>
        <w:rPr>
          <w:rFonts w:ascii="Quicksand" w:cs="Quicksand" w:eastAsia="Quicksand" w:hAnsi="Quicksand"/>
          <w:sz w:val="21"/>
          <w:szCs w:val="21"/>
        </w:rPr>
        <w:t xml:space="preserve">Open in Google (internal only) → Download → separator → Rename (internal only) → Link to campaign (internal only) → separator → Delete (internal only, danger colour)</w:t>
      </w:r>
    </w:p>
    <w:p>
      <w:pPr>
        <w:pStyle w:val="Heading2"/>
        <w:spacing w:after="150" w:before="300"/>
      </w:pPr>
      <w:r>
        <w:t xml:space="preserve">3.4 Upload flow</w:t>
      </w:r>
    </w:p>
    <w:p>
      <w:pPr>
        <w:spacing w:after="120"/>
      </w:pPr>
      <w:r>
        <w:rPr>
          <w:rFonts w:ascii="Quicksand" w:cs="Quicksand" w:eastAsia="Quicksand" w:hAnsi="Quicksand"/>
          <w:sz w:val="21"/>
          <w:szCs w:val="21"/>
        </w:rPr>
        <w:t xml:space="preserve">When the Upload button is clicked:</w:t>
      </w:r>
    </w:p>
    <w:p>
      <w:pPr>
        <w:pStyle w:val="ListParagraph"/>
        <w:numPr>
          <w:ilvl w:val="0"/>
          <w:numId w:val="3"/>
        </w:numPr>
        <w:spacing w:after="60"/>
      </w:pPr>
      <w:r>
        <w:rPr>
          <w:rFonts w:ascii="Quicksand" w:cs="Quicksand" w:eastAsia="Quicksand" w:hAnsi="Quicksand"/>
          <w:sz w:val="21"/>
          <w:szCs w:val="21"/>
        </w:rPr>
        <w:t xml:space="preserve">Browser native file picker opens (no custom file picker UI needed)</w:t>
      </w:r>
    </w:p>
    <w:p>
      <w:pPr>
        <w:pStyle w:val="ListParagraph"/>
        <w:numPr>
          <w:ilvl w:val="0"/>
          <w:numId w:val="3"/>
        </w:numPr>
        <w:spacing w:after="60"/>
      </w:pPr>
      <w:r>
        <w:rPr>
          <w:rFonts w:ascii="Quicksand" w:cs="Quicksand" w:eastAsia="Quicksand" w:hAnsi="Quicksand"/>
          <w:sz w:val="21"/>
          <w:szCs w:val="21"/>
        </w:rPr>
        <w:t xml:space="preserve">On file selection, POST to /api/clients/{clientId}/documents/upload with multipart form data: file binary + folderId (from the currently selected folder’s Drive folder ID, resolved via the client’s folderMap)</w:t>
      </w:r>
    </w:p>
    <w:p>
      <w:pPr>
        <w:pStyle w:val="ListParagraph"/>
        <w:numPr>
          <w:ilvl w:val="0"/>
          <w:numId w:val="3"/>
        </w:numPr>
        <w:spacing w:after="60"/>
      </w:pPr>
      <w:r>
        <w:rPr>
          <w:rFonts w:ascii="Quicksand" w:cs="Quicksand" w:eastAsia="Quicksand" w:hAnsi="Quicksand"/>
          <w:sz w:val="21"/>
          <w:szCs w:val="21"/>
        </w:rPr>
        <w:t xml:space="preserve">Show a loading indicator on the upload button while uploading</w:t>
      </w:r>
    </w:p>
    <w:p>
      <w:pPr>
        <w:pStyle w:val="ListParagraph"/>
        <w:numPr>
          <w:ilvl w:val="0"/>
          <w:numId w:val="3"/>
        </w:numPr>
        <w:spacing w:after="60"/>
      </w:pPr>
      <w:r>
        <w:rPr>
          <w:rFonts w:ascii="Quicksand" w:cs="Quicksand" w:eastAsia="Quicksand" w:hAnsi="Quicksand"/>
          <w:sz w:val="21"/>
          <w:szCs w:val="21"/>
        </w:rPr>
        <w:t xml:space="preserve">On success, the new file appears in the file list immediately (refresh the folder contents)</w:t>
      </w:r>
    </w:p>
    <w:p>
      <w:pPr>
        <w:pStyle w:val="ListParagraph"/>
        <w:numPr>
          <w:ilvl w:val="0"/>
          <w:numId w:val="3"/>
        </w:numPr>
        <w:spacing w:after="60"/>
      </w:pPr>
      <w:r>
        <w:rPr>
          <w:rFonts w:ascii="Quicksand" w:cs="Quicksand" w:eastAsia="Quicksand" w:hAnsi="Quicksand"/>
          <w:sz w:val="21"/>
          <w:szCs w:val="21"/>
        </w:rPr>
        <w:t xml:space="preserve">On error, show a toast/alert with the error message</w:t>
      </w:r>
    </w:p>
    <w:p>
      <w:pPr>
        <w:spacing w:after="120"/>
      </w:pPr>
      <w:r>
        <w:rPr>
          <w:rFonts w:ascii="Quicksand" w:cs="Quicksand" w:eastAsia="Quicksand" w:hAnsi="Quicksand"/>
          <w:b/>
          <w:bCs/>
          <w:sz w:val="21"/>
          <w:szCs w:val="21"/>
        </w:rPr>
        <w:t xml:space="preserve">Client-approver uploads: </w:t>
      </w:r>
      <w:r>
        <w:rPr>
          <w:rFonts w:ascii="Quicksand" w:cs="Quicksand" w:eastAsia="Quicksand" w:hAnsi="Quicksand"/>
          <w:sz w:val="21"/>
          <w:szCs w:val="21"/>
        </w:rPr>
        <w:t xml:space="preserve">The API already generates an auto-action for the AM when a client-approver uploads. No additional UI logic needed — the API handles this.</w:t>
      </w:r>
    </w:p>
    <w:p>
      <w:pPr>
        <w:spacing w:after="120"/>
      </w:pPr>
      <w:r>
        <w:rPr>
          <w:rFonts w:ascii="Quicksand" w:cs="Quicksand" w:eastAsia="Quicksand" w:hAnsi="Quicksand"/>
          <w:b/>
          <w:bCs/>
          <w:sz w:val="21"/>
          <w:szCs w:val="21"/>
        </w:rPr>
        <w:t xml:space="preserve">File size limit: </w:t>
      </w:r>
      <w:r>
        <w:rPr>
          <w:rFonts w:ascii="Quicksand" w:cs="Quicksand" w:eastAsia="Quicksand" w:hAnsi="Quicksand"/>
          <w:sz w:val="21"/>
          <w:szCs w:val="21"/>
        </w:rPr>
        <w:t xml:space="preserve">50MB (enforced by the upload API). Show a client-side validation error if the file exceeds this before uploading.</w:t>
      </w:r>
    </w:p>
    <w:p>
      <w:pPr>
        <w:pStyle w:val="Heading2"/>
        <w:spacing w:after="150" w:before="300"/>
      </w:pPr>
      <w:r>
        <w:t xml:space="preserve">3.5 Register existing Drive file (internal only)</w:t>
      </w:r>
    </w:p>
    <w:p>
      <w:pPr>
        <w:spacing w:after="120"/>
      </w:pPr>
      <w:r>
        <w:rPr>
          <w:rFonts w:ascii="Quicksand" w:cs="Quicksand" w:eastAsia="Quicksand" w:hAnsi="Quicksand"/>
          <w:sz w:val="21"/>
          <w:szCs w:val="21"/>
        </w:rPr>
        <w:t xml:space="preserve">When browsing with source=drive, files that exist in Drive but are not in the Firestore registry are flagged. Internal users can register these files:</w:t>
      </w:r>
    </w:p>
    <w:p>
      <w:pPr>
        <w:pStyle w:val="ListParagraph"/>
        <w:numPr>
          <w:ilvl w:val="0"/>
          <w:numId w:val="2"/>
        </w:numPr>
        <w:spacing w:after="60"/>
      </w:pPr>
      <w:r>
        <w:rPr>
          <w:rFonts w:ascii="Quicksand" w:cs="Quicksand" w:eastAsia="Quicksand" w:hAnsi="Quicksand"/>
          <w:sz w:val="21"/>
          <w:szCs w:val="21"/>
        </w:rPr>
        <w:t xml:space="preserve">Show an “Unregistered files found” info banner at the top of the folder when the browse response includes hasUnregisteredContent: true</w:t>
      </w:r>
    </w:p>
    <w:p>
      <w:pPr>
        <w:pStyle w:val="ListParagraph"/>
        <w:numPr>
          <w:ilvl w:val="0"/>
          <w:numId w:val="2"/>
        </w:numPr>
        <w:spacing w:after="60"/>
      </w:pPr>
      <w:r>
        <w:rPr>
          <w:rFonts w:ascii="Quicksand" w:cs="Quicksand" w:eastAsia="Quicksand" w:hAnsi="Quicksand"/>
          <w:sz w:val="21"/>
          <w:szCs w:val="21"/>
        </w:rPr>
        <w:t xml:space="preserve">Provide a “View unregistered” toggle or link that switches the browse to source=drive mode</w:t>
      </w:r>
    </w:p>
    <w:p>
      <w:pPr>
        <w:pStyle w:val="ListParagraph"/>
        <w:numPr>
          <w:ilvl w:val="0"/>
          <w:numId w:val="2"/>
        </w:numPr>
        <w:spacing w:after="60"/>
      </w:pPr>
      <w:r>
        <w:rPr>
          <w:rFonts w:ascii="Quicksand" w:cs="Quicksand" w:eastAsia="Quicksand" w:hAnsi="Quicksand"/>
          <w:sz w:val="21"/>
          <w:szCs w:val="21"/>
        </w:rPr>
        <w:t xml:space="preserve">Unregistered files shown with a subtle visual distinction (e.g. dashed border or muted styling)</w:t>
      </w:r>
    </w:p>
    <w:p>
      <w:pPr>
        <w:pStyle w:val="ListParagraph"/>
        <w:numPr>
          <w:ilvl w:val="0"/>
          <w:numId w:val="2"/>
        </w:numPr>
        <w:spacing w:after="60"/>
      </w:pPr>
      <w:r>
        <w:rPr>
          <w:rFonts w:ascii="Quicksand" w:cs="Quicksand" w:eastAsia="Quicksand" w:hAnsi="Quicksand"/>
          <w:sz w:val="21"/>
          <w:szCs w:val="21"/>
        </w:rPr>
        <w:t xml:space="preserve">Three-dot menu on unregistered files shows a “Register” action that calls POST /api/clients/{clientId}/documents/register with folderCategory (not folderId — the API resolves the folder ID from the folderMap)</w:t>
      </w:r>
    </w:p>
    <w:p>
      <w:pPr>
        <w:spacing w:after="120"/>
      </w:pPr>
      <w:r>
        <w:rPr>
          <w:rFonts w:ascii="Quicksand" w:cs="Quicksand" w:eastAsia="Quicksand" w:hAnsi="Quicksand"/>
          <w:i/>
          <w:iCs/>
          <w:color w:val="827786"/>
          <w:sz w:val="21"/>
          <w:szCs w:val="21"/>
        </w:rPr>
        <w:t xml:space="preserve">This is a housekeeping feature for internal users to bring existing Drive files into Exchange’s managed registry. It is not client-facing.</w:t>
      </w:r>
    </w:p>
    <w:p>
      <w:pPr>
        <w:pBdr>
          <w:bottom w:val="single" w:color="3B7584" w:sz="4" w:space="8"/>
        </w:pBdr>
        <w:spacing w:after="200" w:before="200"/>
      </w:pPr>
    </w:p>
    <w:p>
      <w:pPr>
        <w:pStyle w:val="Heading1"/>
        <w:spacing w:after="150" w:before="300"/>
      </w:pPr>
      <w:r>
        <w:t xml:space="preserve">4. Campaign detail page — Documents section card</w:t>
      </w:r>
    </w:p>
    <w:p>
      <w:pPr>
        <w:spacing w:after="120"/>
      </w:pPr>
      <w:r>
        <w:rPr>
          <w:rFonts w:ascii="Quicksand" w:cs="Quicksand" w:eastAsia="Quicksand" w:hAnsi="Quicksand"/>
          <w:sz w:val="21"/>
          <w:szCs w:val="21"/>
        </w:rPr>
        <w:t xml:space="preserve">Add a new section card to the Campaign detail page, positioned after the existing sections (after Related Actions). This card shows documents linked to the current campaign.</w:t>
      </w:r>
    </w:p>
    <w:p>
      <w:pPr>
        <w:pStyle w:val="Heading2"/>
        <w:spacing w:after="150" w:before="300"/>
      </w:pPr>
      <w:r>
        <w:t xml:space="preserve">4.1 Card structure</w:t>
      </w:r>
    </w:p>
    <w:p>
      <w:pPr>
        <w:pStyle w:val="ListParagraph"/>
        <w:numPr>
          <w:ilvl w:val="0"/>
          <w:numId w:val="2"/>
        </w:numPr>
        <w:spacing w:after="60"/>
      </w:pPr>
      <w:r>
        <w:rPr>
          <w:rFonts w:ascii="Quicksand" w:cs="Quicksand" w:eastAsia="Quicksand" w:hAnsi="Quicksand"/>
          <w:b/>
          <w:bCs/>
          <w:sz w:val="21"/>
          <w:szCs w:val="21"/>
        </w:rPr>
        <w:t xml:space="preserve">Card header: </w:t>
      </w:r>
      <w:r>
        <w:rPr>
          <w:rFonts w:ascii="Quicksand" w:cs="Quicksand" w:eastAsia="Quicksand" w:hAnsi="Quicksand"/>
          <w:sz w:val="21"/>
          <w:szCs w:val="21"/>
        </w:rPr>
        <w:t xml:space="preserve">Title “Documents” (left). “View all” link with chevron (right). The link navigates to /clients/{clientId}/documents?campaign={campaignId}</w:t>
      </w:r>
    </w:p>
    <w:p>
      <w:pPr>
        <w:pStyle w:val="ListParagraph"/>
        <w:numPr>
          <w:ilvl w:val="0"/>
          <w:numId w:val="2"/>
        </w:numPr>
        <w:spacing w:after="60"/>
      </w:pPr>
      <w:r>
        <w:rPr>
          <w:rFonts w:ascii="Quicksand" w:cs="Quicksand" w:eastAsia="Quicksand" w:hAnsi="Quicksand"/>
          <w:b/>
          <w:bCs/>
          <w:sz w:val="21"/>
          <w:szCs w:val="21"/>
        </w:rPr>
        <w:t xml:space="preserve">Card body: </w:t>
      </w:r>
      <w:r>
        <w:rPr>
          <w:rFonts w:ascii="Quicksand" w:cs="Quicksand" w:eastAsia="Quicksand" w:hAnsi="Quicksand"/>
          <w:sz w:val="21"/>
          <w:szCs w:val="21"/>
        </w:rPr>
        <w:t xml:space="preserve">Files grouped by folder category, same grouping pattern as the default Documents page view. Each file row shows: document icon, file name, upload date. No three-dot menu — this is a read-only summary.</w:t>
      </w:r>
    </w:p>
    <w:p>
      <w:pPr>
        <w:pStyle w:val="ListParagraph"/>
        <w:numPr>
          <w:ilvl w:val="0"/>
          <w:numId w:val="2"/>
        </w:numPr>
        <w:spacing w:after="60"/>
      </w:pPr>
      <w:r>
        <w:rPr>
          <w:rFonts w:ascii="Quicksand" w:cs="Quicksand" w:eastAsia="Quicksand" w:hAnsi="Quicksand"/>
          <w:b/>
          <w:bCs/>
          <w:sz w:val="21"/>
          <w:szCs w:val="21"/>
        </w:rPr>
        <w:t xml:space="preserve">Card footer: </w:t>
      </w:r>
      <w:r>
        <w:rPr>
          <w:rFonts w:ascii="Quicksand" w:cs="Quicksand" w:eastAsia="Quicksand" w:hAnsi="Quicksand"/>
          <w:sz w:val="21"/>
          <w:szCs w:val="21"/>
        </w:rPr>
        <w:t xml:space="preserve">Subtle background bar showing total count: “4 documents linked to this campaign”</w:t>
      </w:r>
    </w:p>
    <w:p>
      <w:pPr>
        <w:pStyle w:val="Heading2"/>
        <w:spacing w:after="150" w:before="300"/>
      </w:pPr>
      <w:r>
        <w:t xml:space="preserve">4.2 Role-based visibility</w:t>
      </w:r>
    </w:p>
    <w:p>
      <w:pPr>
        <w:pStyle w:val="ListParagraph"/>
        <w:numPr>
          <w:ilvl w:val="0"/>
          <w:numId w:val="2"/>
        </w:numPr>
        <w:spacing w:after="60"/>
      </w:pPr>
      <w:r>
        <w:rPr>
          <w:rFonts w:ascii="Quicksand" w:cs="Quicksand" w:eastAsia="Quicksand" w:hAnsi="Quicksand"/>
          <w:sz w:val="21"/>
          <w:szCs w:val="21"/>
        </w:rPr>
        <w:t xml:space="preserve">Internal users see all folders including internal-only folders (with amber badge)</w:t>
      </w:r>
    </w:p>
    <w:p>
      <w:pPr>
        <w:pStyle w:val="ListParagraph"/>
        <w:numPr>
          <w:ilvl w:val="0"/>
          <w:numId w:val="2"/>
        </w:numPr>
        <w:spacing w:after="60"/>
      </w:pPr>
      <w:r>
        <w:rPr>
          <w:rFonts w:ascii="Quicksand" w:cs="Quicksand" w:eastAsia="Quicksand" w:hAnsi="Quicksand"/>
          <w:sz w:val="21"/>
          <w:szCs w:val="21"/>
        </w:rPr>
        <w:t xml:space="preserve">Client users see only client-visible folders</w:t>
      </w:r>
    </w:p>
    <w:p>
      <w:pPr>
        <w:pStyle w:val="ListParagraph"/>
        <w:numPr>
          <w:ilvl w:val="0"/>
          <w:numId w:val="2"/>
        </w:numPr>
        <w:spacing w:after="60"/>
      </w:pPr>
      <w:r>
        <w:rPr>
          <w:rFonts w:ascii="Quicksand" w:cs="Quicksand" w:eastAsia="Quicksand" w:hAnsi="Quicksand"/>
          <w:sz w:val="21"/>
          <w:szCs w:val="21"/>
        </w:rPr>
        <w:t xml:space="preserve">Internal-only folders are not counted in the client-visible total</w:t>
      </w:r>
    </w:p>
    <w:p>
      <w:pPr>
        <w:pStyle w:val="Heading2"/>
        <w:spacing w:after="150" w:before="300"/>
      </w:pPr>
      <w:r>
        <w:t xml:space="preserve">4.3 Click behaviour on file names</w:t>
      </w:r>
    </w:p>
    <w:p>
      <w:pPr>
        <w:spacing w:after="120"/>
      </w:pPr>
      <w:r>
        <w:rPr>
          <w:rFonts w:ascii="Quicksand" w:cs="Quicksand" w:eastAsia="Quicksand" w:hAnsi="Quicksand"/>
          <w:sz w:val="21"/>
          <w:szCs w:val="21"/>
        </w:rPr>
        <w:t xml:space="preserve">File names in the campaign card follow the same click behaviour as the Documents page:</w:t>
      </w:r>
    </w:p>
    <w:p>
      <w:pPr>
        <w:pStyle w:val="ListParagraph"/>
        <w:numPr>
          <w:ilvl w:val="0"/>
          <w:numId w:val="2"/>
        </w:numPr>
        <w:spacing w:after="60"/>
      </w:pPr>
      <w:r>
        <w:rPr>
          <w:rFonts w:ascii="Quicksand" w:cs="Quicksand" w:eastAsia="Quicksand" w:hAnsi="Quicksand"/>
          <w:sz w:val="21"/>
          <w:szCs w:val="21"/>
        </w:rPr>
        <w:t xml:space="preserve">Internal users: opens Google editor in new tab</w:t>
      </w:r>
    </w:p>
    <w:p>
      <w:pPr>
        <w:pStyle w:val="ListParagraph"/>
        <w:numPr>
          <w:ilvl w:val="0"/>
          <w:numId w:val="2"/>
        </w:numPr>
        <w:spacing w:after="60"/>
      </w:pPr>
      <w:r>
        <w:rPr>
          <w:rFonts w:ascii="Quicksand" w:cs="Quicksand" w:eastAsia="Quicksand" w:hAnsi="Quicksand"/>
          <w:sz w:val="21"/>
          <w:szCs w:val="21"/>
        </w:rPr>
        <w:t xml:space="preserve">Client users: triggers download</w:t>
      </w:r>
    </w:p>
    <w:p>
      <w:pPr>
        <w:pStyle w:val="Heading2"/>
        <w:spacing w:after="150" w:before="300"/>
      </w:pPr>
      <w:r>
        <w:t xml:space="preserve">4.4 Empty state</w:t>
      </w:r>
    </w:p>
    <w:p>
      <w:pPr>
        <w:spacing w:after="120"/>
      </w:pPr>
      <w:r>
        <w:rPr>
          <w:rFonts w:ascii="Quicksand" w:cs="Quicksand" w:eastAsia="Quicksand" w:hAnsi="Quicksand"/>
          <w:sz w:val="21"/>
          <w:szCs w:val="21"/>
        </w:rPr>
        <w:t xml:space="preserve">If no documents are linked to the campaign, show the card with a gentle empty state: “No documents linked to this campaign” with a muted “Link documents from the Documents page” hint for internal users.</w:t>
      </w:r>
    </w:p>
    <w:p>
      <w:pPr>
        <w:pStyle w:val="Heading2"/>
        <w:spacing w:after="150" w:before="300"/>
      </w:pPr>
      <w:r>
        <w:t xml:space="preserve">4.5 Data fetching</w:t>
      </w:r>
    </w:p>
    <w:p>
      <w:pPr>
        <w:spacing w:after="120"/>
      </w:pPr>
      <w:r>
        <w:rPr>
          <w:rFonts w:ascii="Quicksand" w:cs="Quicksand" w:eastAsia="Quicksand" w:hAnsi="Quicksand"/>
          <w:sz w:val="21"/>
          <w:szCs w:val="21"/>
        </w:rPr>
        <w:t xml:space="preserve">Fetch documents from the Firestore registry filtered by campaignRef matching the current campaign ID. Use the existing browse endpoint with a campaign filter parameter, or query the documents sub-collection directly with a where clause on campaignRef.</w:t>
      </w:r>
    </w:p>
    <w:p>
      <w:pPr>
        <w:pBdr>
          <w:bottom w:val="single" w:color="3B7584" w:sz="4" w:space="8"/>
        </w:pBdr>
        <w:spacing w:after="200" w:before="200"/>
      </w:pPr>
    </w:p>
    <w:p>
      <w:pPr>
        <w:pStyle w:val="Heading1"/>
        <w:spacing w:after="150" w:before="300"/>
      </w:pPr>
      <w:r>
        <w:t xml:space="preserve">5. Folder tree component</w:t>
      </w:r>
    </w:p>
    <w:p>
      <w:pPr>
        <w:pStyle w:val="Heading2"/>
        <w:spacing w:after="150" w:before="300"/>
      </w:pPr>
      <w:r>
        <w:t xml:space="preserve">5.1 Data source</w:t>
      </w:r>
    </w:p>
    <w:p>
      <w:pPr>
        <w:spacing w:after="120"/>
      </w:pPr>
      <w:r>
        <w:rPr>
          <w:rFonts w:ascii="Quicksand" w:cs="Quicksand" w:eastAsia="Quicksand" w:hAnsi="Quicksand"/>
          <w:sz w:val="21"/>
          <w:szCs w:val="21"/>
        </w:rPr>
        <w:t xml:space="preserve">The folder tree is built from the documentFolders managed list at tenants/{tenantId}/managedLists/documentFolders. This is already loaded by the managed lists infrastructure. The tree structure:</w:t>
      </w:r>
    </w:p>
    <w:p>
      <w:pPr>
        <w:pStyle w:val="ListParagraph"/>
        <w:numPr>
          <w:ilvl w:val="0"/>
          <w:numId w:val="2"/>
        </w:numPr>
        <w:spacing w:after="60"/>
      </w:pPr>
      <w:r>
        <w:rPr>
          <w:rFonts w:ascii="Quicksand" w:cs="Quicksand" w:eastAsia="Quicksand" w:hAnsi="Quicksand"/>
          <w:sz w:val="21"/>
          <w:szCs w:val="21"/>
        </w:rPr>
        <w:t xml:space="preserve">Top-level folders: items where parentCategory is null/undefined</w:t>
      </w:r>
    </w:p>
    <w:p>
      <w:pPr>
        <w:pStyle w:val="ListParagraph"/>
        <w:numPr>
          <w:ilvl w:val="0"/>
          <w:numId w:val="2"/>
        </w:numPr>
        <w:spacing w:after="60"/>
      </w:pPr>
      <w:r>
        <w:rPr>
          <w:rFonts w:ascii="Quicksand" w:cs="Quicksand" w:eastAsia="Quicksand" w:hAnsi="Quicksand"/>
          <w:sz w:val="21"/>
          <w:szCs w:val="21"/>
        </w:rPr>
        <w:t xml:space="preserve">Child folders: items where parentCategory matches a top-level folder’s folderCategory</w:t>
      </w:r>
    </w:p>
    <w:p>
      <w:pPr>
        <w:pStyle w:val="ListParagraph"/>
        <w:numPr>
          <w:ilvl w:val="0"/>
          <w:numId w:val="2"/>
        </w:numPr>
        <w:spacing w:after="60"/>
      </w:pPr>
      <w:r>
        <w:rPr>
          <w:rFonts w:ascii="Quicksand" w:cs="Quicksand" w:eastAsia="Quicksand" w:hAnsi="Quicksand"/>
          <w:sz w:val="21"/>
          <w:szCs w:val="21"/>
        </w:rPr>
        <w:t xml:space="preserve">Container folders (isContainer: true): shown in tree but cannot be selected for upload. Their children are selectable.</w:t>
      </w:r>
    </w:p>
    <w:p>
      <w:pPr>
        <w:pStyle w:val="Heading2"/>
        <w:spacing w:after="150" w:before="300"/>
      </w:pPr>
      <w:r>
        <w:t xml:space="preserve">5.2 Role filtering</w:t>
      </w:r>
    </w:p>
    <w:p>
      <w:pPr>
        <w:pStyle w:val="ListParagraph"/>
        <w:numPr>
          <w:ilvl w:val="0"/>
          <w:numId w:val="2"/>
        </w:numPr>
        <w:spacing w:after="60"/>
      </w:pPr>
      <w:r>
        <w:rPr>
          <w:rFonts w:ascii="Quicksand" w:cs="Quicksand" w:eastAsia="Quicksand" w:hAnsi="Quicksand"/>
          <w:b/>
          <w:bCs/>
          <w:sz w:val="21"/>
          <w:szCs w:val="21"/>
        </w:rPr>
        <w:t xml:space="preserve">Internal users: </w:t>
      </w:r>
      <w:r>
        <w:rPr>
          <w:rFonts w:ascii="Quicksand" w:cs="Quicksand" w:eastAsia="Quicksand" w:hAnsi="Quicksand"/>
          <w:sz w:val="21"/>
          <w:szCs w:val="21"/>
        </w:rPr>
        <w:t xml:space="preserve">see all folders. Internal-only folders show an amber “internal” badge pill (font-size 9px, rounded, background: warning colour)</w:t>
      </w:r>
    </w:p>
    <w:p>
      <w:pPr>
        <w:pStyle w:val="ListParagraph"/>
        <w:numPr>
          <w:ilvl w:val="0"/>
          <w:numId w:val="2"/>
        </w:numPr>
        <w:spacing w:after="60"/>
      </w:pPr>
      <w:r>
        <w:rPr>
          <w:rFonts w:ascii="Quicksand" w:cs="Quicksand" w:eastAsia="Quicksand" w:hAnsi="Quicksand"/>
          <w:b/>
          <w:bCs/>
          <w:sz w:val="21"/>
          <w:szCs w:val="21"/>
        </w:rPr>
        <w:t xml:space="preserve">Client users: </w:t>
      </w:r>
      <w:r>
        <w:rPr>
          <w:rFonts w:ascii="Quicksand" w:cs="Quicksand" w:eastAsia="Quicksand" w:hAnsi="Quicksand"/>
          <w:sz w:val="21"/>
          <w:szCs w:val="21"/>
        </w:rPr>
        <w:t xml:space="preserve">see only folders where visibility is “client-visible”. Internal-only folders are completely hidden from the tree, not greyed out.</w:t>
      </w:r>
    </w:p>
    <w:p>
      <w:pPr>
        <w:pStyle w:val="Heading2"/>
        <w:spacing w:after="150" w:before="300"/>
      </w:pPr>
      <w:r>
        <w:t xml:space="preserve">5.3 Visual design</w:t>
      </w:r>
    </w:p>
    <w:p>
      <w:pPr>
        <w:pStyle w:val="ListParagraph"/>
        <w:numPr>
          <w:ilvl w:val="0"/>
          <w:numId w:val="2"/>
        </w:numPr>
        <w:spacing w:after="60"/>
      </w:pPr>
      <w:r>
        <w:rPr>
          <w:rFonts w:ascii="Quicksand" w:cs="Quicksand" w:eastAsia="Quicksand" w:hAnsi="Quicksand"/>
          <w:sz w:val="21"/>
          <w:szCs w:val="21"/>
        </w:rPr>
        <w:t xml:space="preserve">Font size: 13px for top-level folders, 12px for child folders</w:t>
      </w:r>
    </w:p>
    <w:p>
      <w:pPr>
        <w:pStyle w:val="ListParagraph"/>
        <w:numPr>
          <w:ilvl w:val="0"/>
          <w:numId w:val="2"/>
        </w:numPr>
        <w:spacing w:after="60"/>
      </w:pPr>
      <w:r>
        <w:rPr>
          <w:rFonts w:ascii="Quicksand" w:cs="Quicksand" w:eastAsia="Quicksand" w:hAnsi="Quicksand"/>
          <w:sz w:val="21"/>
          <w:szCs w:val="21"/>
        </w:rPr>
        <w:t xml:space="preserve">Child folders indented to 36px left padding (parent is 20px)</w:t>
      </w:r>
    </w:p>
    <w:p>
      <w:pPr>
        <w:pStyle w:val="ListParagraph"/>
        <w:numPr>
          <w:ilvl w:val="0"/>
          <w:numId w:val="2"/>
        </w:numPr>
        <w:spacing w:after="60"/>
      </w:pPr>
      <w:r>
        <w:rPr>
          <w:rFonts w:ascii="Quicksand" w:cs="Quicksand" w:eastAsia="Quicksand" w:hAnsi="Quicksand"/>
          <w:sz w:val="21"/>
          <w:szCs w:val="21"/>
        </w:rPr>
        <w:t xml:space="preserve">Selected state: left border accent 3px #3B7584, background: secondary surface colour</w:t>
      </w:r>
    </w:p>
    <w:p>
      <w:pPr>
        <w:pStyle w:val="ListParagraph"/>
        <w:numPr>
          <w:ilvl w:val="0"/>
          <w:numId w:val="2"/>
        </w:numPr>
        <w:spacing w:after="60"/>
      </w:pPr>
      <w:r>
        <w:rPr>
          <w:rFonts w:ascii="Quicksand" w:cs="Quicksand" w:eastAsia="Quicksand" w:hAnsi="Quicksand"/>
          <w:sz w:val="21"/>
          <w:szCs w:val="21"/>
        </w:rPr>
        <w:t xml:space="preserve">Hover state: subtle background highlight</w:t>
      </w:r>
    </w:p>
    <w:p>
      <w:pPr>
        <w:pStyle w:val="ListParagraph"/>
        <w:numPr>
          <w:ilvl w:val="0"/>
          <w:numId w:val="2"/>
        </w:numPr>
        <w:spacing w:after="60"/>
      </w:pPr>
      <w:r>
        <w:rPr>
          <w:rFonts w:ascii="Quicksand" w:cs="Quicksand" w:eastAsia="Quicksand" w:hAnsi="Quicksand"/>
          <w:sz w:val="21"/>
          <w:szCs w:val="21"/>
        </w:rPr>
        <w:t xml:space="preserve">Active folder text weight: 500. Inactive: 400, secondary text colour</w:t>
      </w:r>
    </w:p>
    <w:p>
      <w:pPr>
        <w:pBdr>
          <w:bottom w:val="single" w:color="3B7584" w:sz="4" w:space="8"/>
        </w:pBdr>
        <w:spacing w:after="200" w:before="200"/>
      </w:pPr>
    </w:p>
    <w:p>
      <w:pPr>
        <w:pStyle w:val="Heading1"/>
        <w:spacing w:after="150" w:before="300"/>
      </w:pPr>
      <w:r>
        <w:t xml:space="preserve">6. Sidebar navigation</w:t>
      </w:r>
    </w:p>
    <w:p>
      <w:pPr>
        <w:spacing w:after="120"/>
      </w:pPr>
      <w:r>
        <w:rPr>
          <w:rFonts w:ascii="Quicksand" w:cs="Quicksand" w:eastAsia="Quicksand" w:hAnsi="Quicksand"/>
          <w:sz w:val="21"/>
          <w:szCs w:val="21"/>
        </w:rPr>
        <w:t xml:space="preserve">The Documents nav item already exists in the sidebar. No changes needed to navigation structure. Confirm:</w:t>
      </w:r>
    </w:p>
    <w:p>
      <w:pPr>
        <w:pStyle w:val="ListParagraph"/>
        <w:numPr>
          <w:ilvl w:val="0"/>
          <w:numId w:val="2"/>
        </w:numPr>
        <w:spacing w:after="60"/>
      </w:pPr>
      <w:r>
        <w:rPr>
          <w:rFonts w:ascii="Quicksand" w:cs="Quicksand" w:eastAsia="Quicksand" w:hAnsi="Quicksand"/>
          <w:sz w:val="21"/>
          <w:szCs w:val="21"/>
        </w:rPr>
        <w:t xml:space="preserve">“Documents” appears in the CLIENT section of the sidebar for all roles</w:t>
      </w:r>
    </w:p>
    <w:p>
      <w:pPr>
        <w:pStyle w:val="ListParagraph"/>
        <w:numPr>
          <w:ilvl w:val="0"/>
          <w:numId w:val="2"/>
        </w:numPr>
        <w:spacing w:after="60"/>
      </w:pPr>
      <w:r>
        <w:rPr>
          <w:rFonts w:ascii="Quicksand" w:cs="Quicksand" w:eastAsia="Quicksand" w:hAnsi="Quicksand"/>
          <w:sz w:val="21"/>
          <w:szCs w:val="21"/>
        </w:rPr>
        <w:t xml:space="preserve">Links to /clients/{clientId}/documents</w:t>
      </w:r>
    </w:p>
    <w:p>
      <w:pPr>
        <w:pStyle w:val="ListParagraph"/>
        <w:numPr>
          <w:ilvl w:val="0"/>
          <w:numId w:val="2"/>
        </w:numPr>
        <w:spacing w:after="60"/>
      </w:pPr>
      <w:r>
        <w:rPr>
          <w:rFonts w:ascii="Quicksand" w:cs="Quicksand" w:eastAsia="Quicksand" w:hAnsi="Quicksand"/>
          <w:sz w:val="21"/>
          <w:szCs w:val="21"/>
        </w:rPr>
        <w:t xml:space="preserve">Active state highlight when on the documents page</w:t>
      </w:r>
    </w:p>
    <w:p>
      <w:pPr>
        <w:pBdr>
          <w:bottom w:val="single" w:color="3B7584" w:sz="4" w:space="8"/>
        </w:pBdr>
        <w:spacing w:after="200" w:before="200"/>
      </w:pPr>
    </w:p>
    <w:p>
      <w:pPr>
        <w:pStyle w:val="Heading1"/>
        <w:spacing w:after="150" w:before="300"/>
      </w:pPr>
      <w:r>
        <w:t xml:space="preserve">7. API changes</w:t>
      </w:r>
    </w:p>
    <w:p>
      <w:pPr>
        <w:pStyle w:val="Heading2"/>
        <w:spacing w:after="150" w:before="300"/>
      </w:pPr>
      <w:r>
        <w:t xml:space="preserve">7.1 Browse endpoint enhancement</w:t>
      </w:r>
    </w:p>
    <w:p>
      <w:pPr>
        <w:spacing w:after="120"/>
      </w:pPr>
      <w:r>
        <w:rPr>
          <w:rFonts w:ascii="Quicksand" w:cs="Quicksand" w:eastAsia="Quicksand" w:hAnsi="Quicksand"/>
          <w:sz w:val="21"/>
          <w:szCs w:val="21"/>
        </w:rPr>
        <w:t xml:space="preserve">The existing GET /api/clients/{clientId}/documents/browse endpoint needs a campaign filter parameter:</w:t>
      </w:r>
    </w:p>
    <w:p>
      <w:pPr>
        <w:pStyle w:val="ListParagraph"/>
        <w:numPr>
          <w:ilvl w:val="0"/>
          <w:numId w:val="2"/>
        </w:numPr>
        <w:spacing w:after="60"/>
      </w:pPr>
      <w:r>
        <w:rPr>
          <w:rFonts w:ascii="Courier New" w:cs="Courier New" w:eastAsia="Courier New" w:hAnsi="Courier New"/>
          <w:color w:val="3B4A55"/>
          <w:sz w:val="19"/>
          <w:szCs w:val="19"/>
        </w:rPr>
        <w:t xml:space="preserve">?campaign={campaignId}</w:t>
      </w:r>
      <w:r>
        <w:rPr>
          <w:rFonts w:ascii="Quicksand" w:cs="Quicksand" w:eastAsia="Quicksand" w:hAnsi="Quicksand"/>
          <w:sz w:val="21"/>
          <w:szCs w:val="21"/>
        </w:rPr>
        <w:t xml:space="preserve"> — filters Firestore query to documents where campaignRef matches the campaign ID</w:t>
      </w:r>
    </w:p>
    <w:p>
      <w:pPr>
        <w:pStyle w:val="ListParagraph"/>
        <w:numPr>
          <w:ilvl w:val="0"/>
          <w:numId w:val="2"/>
        </w:numPr>
        <w:spacing w:after="60"/>
      </w:pPr>
      <w:r>
        <w:rPr>
          <w:rFonts w:ascii="Quicksand" w:cs="Quicksand" w:eastAsia="Quicksand" w:hAnsi="Quicksand"/>
          <w:sz w:val="21"/>
          <w:szCs w:val="21"/>
        </w:rPr>
        <w:t xml:space="preserve">This parameter works in combination with existing parameters (source, folderId, includeUnregisteredCheck)</w:t>
      </w:r>
    </w:p>
    <w:p>
      <w:pPr>
        <w:pStyle w:val="Heading2"/>
        <w:spacing w:after="150" w:before="300"/>
      </w:pPr>
      <w:r>
        <w:t xml:space="preserve">7.2 Register endpoint fix (already done)</w:t>
      </w:r>
    </w:p>
    <w:p>
      <w:pPr>
        <w:spacing w:after="120"/>
      </w:pPr>
      <w:r>
        <w:rPr>
          <w:rFonts w:ascii="Quicksand" w:cs="Quicksand" w:eastAsia="Quicksand" w:hAnsi="Quicksand"/>
          <w:sz w:val="21"/>
          <w:szCs w:val="21"/>
        </w:rPr>
        <w:t xml:space="preserve">The register route has already been updated to accept folderCategory instead of folderId. The route resolves the Drive folder ID from the client’s folderMap using getCategoryToFolderMap(). No further API changes needed.</w:t>
      </w:r>
    </w:p>
    <w:p>
      <w:pPr>
        <w:pStyle w:val="Heading2"/>
        <w:spacing w:after="150" w:before="300"/>
      </w:pPr>
      <w:r>
        <w:t xml:space="preserve">7.3 Google Drive file URL</w:t>
      </w:r>
    </w:p>
    <w:p>
      <w:pPr>
        <w:spacing w:after="120"/>
      </w:pPr>
      <w:r>
        <w:rPr>
          <w:rFonts w:ascii="Quicksand" w:cs="Quicksand" w:eastAsia="Quicksand" w:hAnsi="Quicksand"/>
          <w:sz w:val="21"/>
          <w:szCs w:val="21"/>
        </w:rPr>
        <w:t xml:space="preserve">The browse endpoint response should include a webViewLink or webEditLink field for each file. Options:</w:t>
      </w:r>
    </w:p>
    <w:p>
      <w:pPr>
        <w:pStyle w:val="ListParagraph"/>
        <w:numPr>
          <w:ilvl w:val="0"/>
          <w:numId w:val="2"/>
        </w:numPr>
        <w:spacing w:after="60"/>
      </w:pPr>
      <w:r>
        <w:rPr>
          <w:rFonts w:ascii="Quicksand" w:cs="Quicksand" w:eastAsia="Quicksand" w:hAnsi="Quicksand"/>
          <w:b/>
          <w:bCs/>
          <w:sz w:val="21"/>
          <w:szCs w:val="21"/>
        </w:rPr>
        <w:t xml:space="preserve">Option A (preferred): </w:t>
      </w:r>
      <w:r>
        <w:rPr>
          <w:rFonts w:ascii="Quicksand" w:cs="Quicksand" w:eastAsia="Quicksand" w:hAnsi="Quicksand"/>
          <w:sz w:val="21"/>
          <w:szCs w:val="21"/>
        </w:rPr>
        <w:t xml:space="preserve">Construct the URL client-side from driveFileId and mimeType (both already in the registry/response). No API change needed. See section 3.2 for URL patterns.</w:t>
      </w:r>
    </w:p>
    <w:p>
      <w:pPr>
        <w:pStyle w:val="ListParagraph"/>
        <w:numPr>
          <w:ilvl w:val="0"/>
          <w:numId w:val="2"/>
        </w:numPr>
        <w:spacing w:after="60"/>
      </w:pPr>
      <w:r>
        <w:rPr>
          <w:rFonts w:ascii="Quicksand" w:cs="Quicksand" w:eastAsia="Quicksand" w:hAnsi="Quicksand"/>
          <w:b/>
          <w:bCs/>
          <w:sz w:val="21"/>
          <w:szCs w:val="21"/>
        </w:rPr>
        <w:t xml:space="preserve">Option B: </w:t>
      </w:r>
      <w:r>
        <w:rPr>
          <w:rFonts w:ascii="Quicksand" w:cs="Quicksand" w:eastAsia="Quicksand" w:hAnsi="Quicksand"/>
          <w:sz w:val="21"/>
          <w:szCs w:val="21"/>
        </w:rPr>
        <w:t xml:space="preserve">Add a driveWebUrl field to the browse response by requesting the webViewLink field from the Drive API. Adds an API call but provides the canonical URL.</w:t>
      </w:r>
    </w:p>
    <w:p>
      <w:pPr>
        <w:spacing w:after="120"/>
      </w:pPr>
      <w:r>
        <w:rPr>
          <w:rFonts w:ascii="Quicksand" w:cs="Quicksand" w:eastAsia="Quicksand" w:hAnsi="Quicksand"/>
          <w:i/>
          <w:iCs/>
          <w:color w:val="827786"/>
          <w:sz w:val="21"/>
          <w:szCs w:val="21"/>
        </w:rPr>
        <w:t xml:space="preserve">Recommendation: Option A. The URL patterns are deterministic from mimeType and driveFileId. No API change required.</w:t>
      </w:r>
    </w:p>
    <w:p>
      <w:pPr>
        <w:pBdr>
          <w:bottom w:val="single" w:color="3B7584" w:sz="4" w:space="8"/>
        </w:pBdr>
        <w:spacing w:after="200" w:before="200"/>
      </w:pPr>
    </w:p>
    <w:p>
      <w:pPr>
        <w:pStyle w:val="Heading1"/>
        <w:spacing w:after="150" w:before="300"/>
      </w:pPr>
      <w:r>
        <w:t xml:space="preserve">8. Component architecture</w:t>
      </w:r>
    </w:p>
    <w:p>
      <w:pPr>
        <w:spacing w:after="120"/>
      </w:pPr>
      <w:r>
        <w:rPr>
          <w:rFonts w:ascii="Quicksand" w:cs="Quicksand" w:eastAsia="Quicksand" w:hAnsi="Quicksand"/>
          <w:sz w:val="21"/>
          <w:szCs w:val="21"/>
        </w:rPr>
        <w:t xml:space="preserve">Suggested file structure for the Documents UI: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5006"/>
      </w:tblGrid>
      <w:tr>
        <w:tc>
          <w:tcPr>
            <w:tcW w:type="dxa" w:w="4500"/>
            <w:tcBorders>
              <w:top w:val="single" w:color="E0E0E0" w:sz="1"/>
              <w:left w:val="single" w:color="E0E0E0" w:sz="1"/>
              <w:bottom w:val="single" w:color="E0E0E0" w:sz="1"/>
              <w:right w:val="single" w:color="E0E0E0" w:sz="1"/>
            </w:tcBorders>
            <w:shd w:fill="004156" w:val="clear"/>
            <w:tcMar>
              <w:top w:type="dxa" w:w="60"/>
              <w:left w:type="dxa" w:w="100"/>
              <w:bottom w:type="dxa" w:w="60"/>
              <w:right w:type="dxa" w:w="100"/>
            </w:tcMar>
            <w:vAlign w:val="center"/>
          </w:tcPr>
          <w:p>
            <w:r>
              <w:rPr>
                <w:rFonts w:ascii="Quicksand" w:cs="Quicksand" w:eastAsia="Quicksand" w:hAnsi="Quicksand"/>
                <w:b/>
                <w:bCs/>
                <w:color w:val="FFFFFF"/>
                <w:sz w:val="19"/>
                <w:szCs w:val="19"/>
              </w:rPr>
              <w:t xml:space="preserve">File</w:t>
            </w:r>
          </w:p>
        </w:tc>
        <w:tc>
          <w:tcPr>
            <w:tcW w:type="dxa" w:w="5006"/>
            <w:tcBorders>
              <w:top w:val="single" w:color="E0E0E0" w:sz="1"/>
              <w:left w:val="single" w:color="E0E0E0" w:sz="1"/>
              <w:bottom w:val="single" w:color="E0E0E0" w:sz="1"/>
              <w:right w:val="single" w:color="E0E0E0" w:sz="1"/>
            </w:tcBorders>
            <w:shd w:fill="004156" w:val="clear"/>
            <w:tcMar>
              <w:top w:type="dxa" w:w="60"/>
              <w:left w:type="dxa" w:w="100"/>
              <w:bottom w:type="dxa" w:w="60"/>
              <w:right w:type="dxa" w:w="100"/>
            </w:tcMar>
            <w:vAlign w:val="center"/>
          </w:tcPr>
          <w:p>
            <w:r>
              <w:rPr>
                <w:rFonts w:ascii="Quicksand" w:cs="Quicksand" w:eastAsia="Quicksand" w:hAnsi="Quicksand"/>
                <w:b/>
                <w:bCs/>
                <w:color w:val="FFFFFF"/>
                <w:sz w:val="19"/>
                <w:szCs w:val="19"/>
              </w:rPr>
              <w:t xml:space="preserve">Purpose</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src/app/(dashboard)/clients/[clientId]/documents/page.tsx</w:t>
            </w:r>
          </w:p>
        </w:tc>
        <w:tc>
          <w:tcPr>
            <w:tcW w:type="dxa" w:w="50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Documents page — fetches folder list and renders layout</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src/app/(dashboard)/clients/[clientId]/documents/DocumentsClient.tsx</w:t>
            </w:r>
          </w:p>
        </w:tc>
        <w:tc>
          <w:tcPr>
            <w:tcW w:type="dxa" w:w="50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Client component — folder tree state, file list, campaign filter</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src/components/documents/FolderTree.tsx</w:t>
            </w:r>
          </w:p>
        </w:tc>
        <w:tc>
          <w:tcPr>
            <w:tcW w:type="dxa" w:w="50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Folder tree navigation component</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src/components/documents/FileList.tsx</w:t>
            </w:r>
          </w:p>
        </w:tc>
        <w:tc>
          <w:tcPr>
            <w:tcW w:type="dxa" w:w="50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File list for selected folder with three-dot menus</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src/components/documents/FileRow.tsx</w:t>
            </w:r>
          </w:p>
        </w:tc>
        <w:tc>
          <w:tcPr>
            <w:tcW w:type="dxa" w:w="50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Individual file row with icon, name, metadata, campaign tag, menu</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src/components/documents/GroupedFileView.tsx</w:t>
            </w:r>
          </w:p>
        </w:tc>
        <w:tc>
          <w:tcPr>
            <w:tcW w:type="dxa" w:w="50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Default view showing all files grouped by folder</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src/components/documents/UploadButton.tsx</w:t>
            </w:r>
          </w:p>
        </w:tc>
        <w:tc>
          <w:tcPr>
            <w:tcW w:type="dxa" w:w="50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Upload button with file picker and progress state</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src/components/documents/CampaignDocumentsCard.tsx</w:t>
            </w:r>
          </w:p>
        </w:tc>
        <w:tc>
          <w:tcPr>
            <w:tcW w:type="dxa" w:w="50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Campaign detail page Documents section card</w:t>
            </w:r>
          </w:p>
        </w:tc>
      </w:tr>
      <w:tr>
        <w:tc>
          <w:tcPr>
            <w:tcW w:type="dxa" w:w="4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src/lib/documents/utils.ts</w:t>
            </w:r>
          </w:p>
        </w:tc>
        <w:tc>
          <w:tcPr>
            <w:tcW w:type="dxa" w:w="5006"/>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Quicksand" w:cs="Quicksand" w:eastAsia="Quicksand" w:hAnsi="Quicksand"/>
                <w:sz w:val="19"/>
                <w:szCs w:val="19"/>
              </w:rPr>
              <w:t xml:space="preserve">Helper: getGoogleEditorUrl(driveFileId, mimeType), canUploadToFolder(role, folderCategory), etc.</w:t>
            </w:r>
          </w:p>
        </w:tc>
      </w:tr>
    </w:tbl>
    <w:p>
      <w:pPr>
        <w:spacing w:after="150"/>
      </w:pPr>
    </w:p>
    <w:p>
      <w:pPr>
        <w:spacing w:after="120"/>
      </w:pPr>
      <w:r>
        <w:rPr>
          <w:rFonts w:ascii="Quicksand" w:cs="Quicksand" w:eastAsia="Quicksand" w:hAnsi="Quicksand"/>
          <w:i/>
          <w:iCs/>
          <w:color w:val="827786"/>
          <w:sz w:val="21"/>
          <w:szCs w:val="21"/>
        </w:rPr>
        <w:t xml:space="preserve">This is a suggested structure. Cline should adapt to match existing patterns in the codebase. The key principle is: shared components in /components/documents/, page-specific client components co-located with the page.</w:t>
      </w:r>
    </w:p>
    <w:p>
      <w:pPr>
        <w:pBdr>
          <w:bottom w:val="single" w:color="3B7584" w:sz="4" w:space="8"/>
        </w:pBdr>
        <w:spacing w:after="200" w:before="200"/>
      </w:pPr>
    </w:p>
    <w:p>
      <w:pPr>
        <w:pStyle w:val="Heading1"/>
        <w:spacing w:after="150" w:before="300"/>
      </w:pPr>
      <w:r>
        <w:t xml:space="preserve">9. Styling guidance</w:t>
      </w:r>
    </w:p>
    <w:p>
      <w:pPr>
        <w:spacing w:after="120"/>
      </w:pPr>
      <w:r>
        <w:rPr>
          <w:rFonts w:ascii="Quicksand" w:cs="Quicksand" w:eastAsia="Quicksand" w:hAnsi="Quicksand"/>
          <w:sz w:val="21"/>
          <w:szCs w:val="21"/>
        </w:rPr>
        <w:t xml:space="preserve">Follow the established Exchange design language. Key visual tokens for this slice:</w:t>
      </w:r>
    </w:p>
    <w:p>
      <w:pPr>
        <w:pStyle w:val="ListParagraph"/>
        <w:numPr>
          <w:ilvl w:val="0"/>
          <w:numId w:val="2"/>
        </w:numPr>
        <w:spacing w:after="60"/>
      </w:pPr>
      <w:r>
        <w:rPr>
          <w:rFonts w:ascii="Quicksand" w:cs="Quicksand" w:eastAsia="Quicksand" w:hAnsi="Quicksand"/>
          <w:b/>
          <w:bCs/>
          <w:sz w:val="21"/>
          <w:szCs w:val="21"/>
        </w:rPr>
        <w:t xml:space="preserve">File icon: </w:t>
      </w:r>
      <w:r>
        <w:rPr>
          <w:rFonts w:ascii="Quicksand" w:cs="Quicksand" w:eastAsia="Quicksand" w:hAnsi="Quicksand"/>
          <w:sz w:val="21"/>
          <w:szCs w:val="21"/>
        </w:rPr>
        <w:t xml:space="preserve">SVG, 18px, teal stroke (#3B7584), stroke-width 1.5. Lucide “FileText” or similar.</w:t>
      </w:r>
    </w:p>
    <w:p>
      <w:pPr>
        <w:pStyle w:val="ListParagraph"/>
        <w:numPr>
          <w:ilvl w:val="0"/>
          <w:numId w:val="2"/>
        </w:numPr>
        <w:spacing w:after="60"/>
      </w:pPr>
      <w:r>
        <w:rPr>
          <w:rFonts w:ascii="Quicksand" w:cs="Quicksand" w:eastAsia="Quicksand" w:hAnsi="Quicksand"/>
          <w:b/>
          <w:bCs/>
          <w:sz w:val="21"/>
          <w:szCs w:val="21"/>
        </w:rPr>
        <w:t xml:space="preserve">Folder icon: </w:t>
      </w:r>
      <w:r>
        <w:rPr>
          <w:rFonts w:ascii="Quicksand" w:cs="Quicksand" w:eastAsia="Quicksand" w:hAnsi="Quicksand"/>
          <w:sz w:val="21"/>
          <w:szCs w:val="21"/>
        </w:rPr>
        <w:t xml:space="preserve">SVG, 14px, current colour stroke. Lucide “Folder” or similar.</w:t>
      </w:r>
    </w:p>
    <w:p>
      <w:pPr>
        <w:pStyle w:val="ListParagraph"/>
        <w:numPr>
          <w:ilvl w:val="0"/>
          <w:numId w:val="2"/>
        </w:numPr>
        <w:spacing w:after="60"/>
      </w:pPr>
      <w:r>
        <w:rPr>
          <w:rFonts w:ascii="Quicksand" w:cs="Quicksand" w:eastAsia="Quicksand" w:hAnsi="Quicksand"/>
          <w:b/>
          <w:bCs/>
          <w:sz w:val="21"/>
          <w:szCs w:val="21"/>
        </w:rPr>
        <w:t xml:space="preserve">Campaign tag pill: </w:t>
      </w:r>
      <w:r>
        <w:rPr>
          <w:rFonts w:ascii="Quicksand" w:cs="Quicksand" w:eastAsia="Quicksand" w:hAnsi="Quicksand"/>
          <w:sz w:val="21"/>
          <w:szCs w:val="21"/>
        </w:rPr>
        <w:t xml:space="preserve">Background #E1F5EE, text #085041, border-radius 10px (full pill), font-size 11px, padding 3px 10px</w:t>
      </w:r>
    </w:p>
    <w:p>
      <w:pPr>
        <w:pStyle w:val="ListParagraph"/>
        <w:numPr>
          <w:ilvl w:val="0"/>
          <w:numId w:val="2"/>
        </w:numPr>
        <w:spacing w:after="60"/>
      </w:pPr>
      <w:r>
        <w:rPr>
          <w:rFonts w:ascii="Quicksand" w:cs="Quicksand" w:eastAsia="Quicksand" w:hAnsi="Quicksand"/>
          <w:b/>
          <w:bCs/>
          <w:sz w:val="21"/>
          <w:szCs w:val="21"/>
        </w:rPr>
        <w:t xml:space="preserve">Internal badge pill: </w:t>
      </w:r>
      <w:r>
        <w:rPr>
          <w:rFonts w:ascii="Quicksand" w:cs="Quicksand" w:eastAsia="Quicksand" w:hAnsi="Quicksand"/>
          <w:sz w:val="21"/>
          <w:szCs w:val="21"/>
        </w:rPr>
        <w:t xml:space="preserve">Background: warning colour, text: warning text colour, border-radius 10px, font-size 9px, padding 2px 6px</w:t>
      </w:r>
    </w:p>
    <w:p>
      <w:pPr>
        <w:pStyle w:val="ListParagraph"/>
        <w:numPr>
          <w:ilvl w:val="0"/>
          <w:numId w:val="2"/>
        </w:numPr>
        <w:spacing w:after="60"/>
      </w:pPr>
      <w:r>
        <w:rPr>
          <w:rFonts w:ascii="Quicksand" w:cs="Quicksand" w:eastAsia="Quicksand" w:hAnsi="Quicksand"/>
          <w:b/>
          <w:bCs/>
          <w:sz w:val="21"/>
          <w:szCs w:val="21"/>
        </w:rPr>
        <w:t xml:space="preserve">Upload button: </w:t>
      </w:r>
      <w:r>
        <w:rPr>
          <w:rFonts w:ascii="Quicksand" w:cs="Quicksand" w:eastAsia="Quicksand" w:hAnsi="Quicksand"/>
          <w:sz w:val="21"/>
          <w:szCs w:val="21"/>
        </w:rPr>
        <w:t xml:space="preserve">Background #3B7584, white text, border-radius 20px (pill), font-weight 500, font-size 13px, padding 7px 16px</w:t>
      </w:r>
    </w:p>
    <w:p>
      <w:pPr>
        <w:pStyle w:val="ListParagraph"/>
        <w:numPr>
          <w:ilvl w:val="0"/>
          <w:numId w:val="2"/>
        </w:numPr>
        <w:spacing w:after="60"/>
      </w:pPr>
      <w:r>
        <w:rPr>
          <w:rFonts w:ascii="Quicksand" w:cs="Quicksand" w:eastAsia="Quicksand" w:hAnsi="Quicksand"/>
          <w:b/>
          <w:bCs/>
          <w:sz w:val="21"/>
          <w:szCs w:val="21"/>
        </w:rPr>
        <w:t xml:space="preserve">Three-dot menu: </w:t>
      </w:r>
      <w:r>
        <w:rPr>
          <w:rFonts w:ascii="Quicksand" w:cs="Quicksand" w:eastAsia="Quicksand" w:hAnsi="Quicksand"/>
          <w:sz w:val="21"/>
          <w:szCs w:val="21"/>
        </w:rPr>
        <w:t xml:space="preserve">Horizontal dots (… or Lucide MoreHorizontal), colour: tertiary text. Menu items with Lucide icons (15px). Delete item in danger text colour.</w:t>
      </w:r>
    </w:p>
    <w:p>
      <w:pPr>
        <w:pStyle w:val="ListParagraph"/>
        <w:numPr>
          <w:ilvl w:val="0"/>
          <w:numId w:val="2"/>
        </w:numPr>
        <w:spacing w:after="60"/>
      </w:pPr>
      <w:r>
        <w:rPr>
          <w:rFonts w:ascii="Quicksand" w:cs="Quicksand" w:eastAsia="Quicksand" w:hAnsi="Quicksand"/>
          <w:b/>
          <w:bCs/>
          <w:sz w:val="21"/>
          <w:szCs w:val="21"/>
        </w:rPr>
        <w:t xml:space="preserve">File name link: </w:t>
      </w:r>
      <w:r>
        <w:rPr>
          <w:rFonts w:ascii="Quicksand" w:cs="Quicksand" w:eastAsia="Quicksand" w:hAnsi="Quicksand"/>
          <w:sz w:val="21"/>
          <w:szCs w:val="21"/>
        </w:rPr>
        <w:t xml:space="preserve">Info text colour. No underline by default. Underline on hover. Cursor pointer.</w:t>
      </w:r>
    </w:p>
    <w:p>
      <w:pPr>
        <w:pStyle w:val="ListParagraph"/>
        <w:numPr>
          <w:ilvl w:val="0"/>
          <w:numId w:val="2"/>
        </w:numPr>
        <w:spacing w:after="60"/>
      </w:pPr>
      <w:r>
        <w:rPr>
          <w:rFonts w:ascii="Quicksand" w:cs="Quicksand" w:eastAsia="Quicksand" w:hAnsi="Quicksand"/>
          <w:b/>
          <w:bCs/>
          <w:sz w:val="21"/>
          <w:szCs w:val="21"/>
        </w:rPr>
        <w:t xml:space="preserve">Rounded corners throughout: </w:t>
      </w:r>
      <w:r>
        <w:rPr>
          <w:rFonts w:ascii="Quicksand" w:cs="Quicksand" w:eastAsia="Quicksand" w:hAnsi="Quicksand"/>
          <w:sz w:val="21"/>
          <w:szCs w:val="21"/>
        </w:rPr>
        <w:t xml:space="preserve">Use border-radius-lg (12px) for cards and panels, border-radius-md (8px) for inner elements, 20px for pill buttons</w:t>
      </w:r>
    </w:p>
    <w:p>
      <w:pPr>
        <w:spacing w:after="120"/>
      </w:pPr>
      <w:r>
        <w:rPr>
          <w:rFonts w:ascii="Quicksand" w:cs="Quicksand" w:eastAsia="Quicksand" w:hAnsi="Quicksand"/>
          <w:i/>
          <w:iCs/>
          <w:color w:val="827786"/>
          <w:sz w:val="21"/>
          <w:szCs w:val="21"/>
        </w:rPr>
        <w:t xml:space="preserve">The overall feel should be clean and Mac/Google-like — generous whitespace, lightweight borders, rounded shapes, no heavy visual weight.</w:t>
      </w:r>
    </w:p>
    <w:p>
      <w:pPr>
        <w:pBdr>
          <w:bottom w:val="single" w:color="3B7584" w:sz="4" w:space="8"/>
        </w:pBdr>
        <w:spacing w:after="200" w:before="200"/>
      </w:pPr>
    </w:p>
    <w:p>
      <w:pPr>
        <w:pStyle w:val="Heading1"/>
        <w:spacing w:after="150" w:before="300"/>
      </w:pPr>
      <w:r>
        <w:t xml:space="preserve">10. Implementation checklist</w:t>
      </w:r>
    </w:p>
    <w:p>
      <w:pPr>
        <w:spacing w:after="120"/>
      </w:pPr>
      <w:r>
        <w:rPr>
          <w:rFonts w:ascii="Quicksand" w:cs="Quicksand" w:eastAsia="Quicksand" w:hAnsi="Quicksand"/>
          <w:sz w:val="21"/>
          <w:szCs w:val="21"/>
        </w:rPr>
        <w:t xml:space="preserve">Implement in this order:</w:t>
      </w:r>
    </w:p>
    <w:p>
      <w:pPr>
        <w:pStyle w:val="ListParagraph"/>
        <w:numPr>
          <w:ilvl w:val="0"/>
          <w:numId w:val="3"/>
        </w:numPr>
        <w:spacing w:after="60"/>
      </w:pPr>
      <w:r>
        <w:rPr>
          <w:rFonts w:ascii="Quicksand" w:cs="Quicksand" w:eastAsia="Quicksand" w:hAnsi="Quicksand"/>
          <w:b/>
          <w:bCs/>
          <w:sz w:val="21"/>
          <w:szCs w:val="21"/>
        </w:rPr>
        <w:t xml:space="preserve">Folder tree component </w:t>
      </w:r>
      <w:r>
        <w:rPr>
          <w:rFonts w:ascii="Quicksand" w:cs="Quicksand" w:eastAsia="Quicksand" w:hAnsi="Quicksand"/>
          <w:sz w:val="21"/>
          <w:szCs w:val="21"/>
        </w:rPr>
        <w:t xml:space="preserve">— reads from documentFolders managed list, renders tree with role filtering and selection state</w:t>
      </w:r>
    </w:p>
    <w:p>
      <w:pPr>
        <w:pStyle w:val="ListParagraph"/>
        <w:numPr>
          <w:ilvl w:val="0"/>
          <w:numId w:val="3"/>
        </w:numPr>
        <w:spacing w:after="60"/>
      </w:pPr>
      <w:r>
        <w:rPr>
          <w:rFonts w:ascii="Quicksand" w:cs="Quicksand" w:eastAsia="Quicksand" w:hAnsi="Quicksand"/>
          <w:b/>
          <w:bCs/>
          <w:sz w:val="21"/>
          <w:szCs w:val="21"/>
        </w:rPr>
        <w:t xml:space="preserve">Documents page layout </w:t>
      </w:r>
      <w:r>
        <w:rPr>
          <w:rFonts w:ascii="Quicksand" w:cs="Quicksand" w:eastAsia="Quicksand" w:hAnsi="Quicksand"/>
          <w:sz w:val="21"/>
          <w:szCs w:val="21"/>
        </w:rPr>
        <w:t xml:space="preserve">— two-panel layout, page header with campaign filter dropdown, wires up folder tree</w:t>
      </w:r>
    </w:p>
    <w:p>
      <w:pPr>
        <w:pStyle w:val="ListParagraph"/>
        <w:numPr>
          <w:ilvl w:val="0"/>
          <w:numId w:val="3"/>
        </w:numPr>
        <w:spacing w:after="60"/>
      </w:pPr>
      <w:r>
        <w:rPr>
          <w:rFonts w:ascii="Quicksand" w:cs="Quicksand" w:eastAsia="Quicksand" w:hAnsi="Quicksand"/>
          <w:b/>
          <w:bCs/>
          <w:sz w:val="21"/>
          <w:szCs w:val="21"/>
        </w:rPr>
        <w:t xml:space="preserve">File list component </w:t>
      </w:r>
      <w:r>
        <w:rPr>
          <w:rFonts w:ascii="Quicksand" w:cs="Quicksand" w:eastAsia="Quicksand" w:hAnsi="Quicksand"/>
          <w:sz w:val="21"/>
          <w:szCs w:val="21"/>
        </w:rPr>
        <w:t xml:space="preserve">— fetches from browse endpoint for selected folder, renders file rows with icon, name (clickable), metadata, campaign pill, three-dot menu</w:t>
      </w:r>
    </w:p>
    <w:p>
      <w:pPr>
        <w:pStyle w:val="ListParagraph"/>
        <w:numPr>
          <w:ilvl w:val="0"/>
          <w:numId w:val="3"/>
        </w:numPr>
        <w:spacing w:after="60"/>
      </w:pPr>
      <w:r>
        <w:rPr>
          <w:rFonts w:ascii="Quicksand" w:cs="Quicksand" w:eastAsia="Quicksand" w:hAnsi="Quicksand"/>
          <w:b/>
          <w:bCs/>
          <w:sz w:val="21"/>
          <w:szCs w:val="21"/>
        </w:rPr>
        <w:t xml:space="preserve">Grouped file view </w:t>
      </w:r>
      <w:r>
        <w:rPr>
          <w:rFonts w:ascii="Quicksand" w:cs="Quicksand" w:eastAsia="Quicksand" w:hAnsi="Quicksand"/>
          <w:sz w:val="21"/>
          <w:szCs w:val="21"/>
        </w:rPr>
        <w:t xml:space="preserve">— default view when no folder selected, fetches all documents grouped by folderCategory</w:t>
      </w:r>
    </w:p>
    <w:p>
      <w:pPr>
        <w:pStyle w:val="ListParagraph"/>
        <w:numPr>
          <w:ilvl w:val="0"/>
          <w:numId w:val="3"/>
        </w:numPr>
        <w:spacing w:after="60"/>
      </w:pPr>
      <w:r>
        <w:rPr>
          <w:rFonts w:ascii="Quicksand" w:cs="Quicksand" w:eastAsia="Quicksand" w:hAnsi="Quicksand"/>
          <w:b/>
          <w:bCs/>
          <w:sz w:val="21"/>
          <w:szCs w:val="21"/>
        </w:rPr>
        <w:t xml:space="preserve">Click-to-open behaviour </w:t>
      </w:r>
      <w:r>
        <w:rPr>
          <w:rFonts w:ascii="Quicksand" w:cs="Quicksand" w:eastAsia="Quicksand" w:hAnsi="Quicksand"/>
          <w:sz w:val="21"/>
          <w:szCs w:val="21"/>
        </w:rPr>
        <w:t xml:space="preserve">— internal users open Google editor URL in new tab, client users trigger download. Implement getGoogleEditorUrl() helper.</w:t>
      </w:r>
    </w:p>
    <w:p>
      <w:pPr>
        <w:pStyle w:val="ListParagraph"/>
        <w:numPr>
          <w:ilvl w:val="0"/>
          <w:numId w:val="3"/>
        </w:numPr>
        <w:spacing w:after="60"/>
      </w:pPr>
      <w:r>
        <w:rPr>
          <w:rFonts w:ascii="Quicksand" w:cs="Quicksand" w:eastAsia="Quicksand" w:hAnsi="Quicksand"/>
          <w:b/>
          <w:bCs/>
          <w:sz w:val="21"/>
          <w:szCs w:val="21"/>
        </w:rPr>
        <w:t xml:space="preserve">Three-dot menu actions </w:t>
      </w:r>
      <w:r>
        <w:rPr>
          <w:rFonts w:ascii="Quicksand" w:cs="Quicksand" w:eastAsia="Quicksand" w:hAnsi="Quicksand"/>
          <w:sz w:val="21"/>
          <w:szCs w:val="21"/>
        </w:rPr>
        <w:t xml:space="preserve">— role-conditional menu items: Open in Google, Download, Rename, Link to campaign, Delete. Wire up to existing API endpoints.</w:t>
      </w:r>
    </w:p>
    <w:p>
      <w:pPr>
        <w:pStyle w:val="ListParagraph"/>
        <w:numPr>
          <w:ilvl w:val="0"/>
          <w:numId w:val="3"/>
        </w:numPr>
        <w:spacing w:after="60"/>
      </w:pPr>
      <w:r>
        <w:rPr>
          <w:rFonts w:ascii="Quicksand" w:cs="Quicksand" w:eastAsia="Quicksand" w:hAnsi="Quicksand"/>
          <w:b/>
          <w:bCs/>
          <w:sz w:val="21"/>
          <w:szCs w:val="21"/>
        </w:rPr>
        <w:t xml:space="preserve">Upload flow </w:t>
      </w:r>
      <w:r>
        <w:rPr>
          <w:rFonts w:ascii="Quicksand" w:cs="Quicksand" w:eastAsia="Quicksand" w:hAnsi="Quicksand"/>
          <w:sz w:val="21"/>
          <w:szCs w:val="21"/>
        </w:rPr>
        <w:t xml:space="preserve">— file picker, POST to upload endpoint with folderId from folderMap, loading state, refresh on success, 50MB client-side validation</w:t>
      </w:r>
    </w:p>
    <w:p>
      <w:pPr>
        <w:pStyle w:val="ListParagraph"/>
        <w:numPr>
          <w:ilvl w:val="0"/>
          <w:numId w:val="3"/>
        </w:numPr>
        <w:spacing w:after="60"/>
      </w:pPr>
      <w:r>
        <w:rPr>
          <w:rFonts w:ascii="Quicksand" w:cs="Quicksand" w:eastAsia="Quicksand" w:hAnsi="Quicksand"/>
          <w:b/>
          <w:bCs/>
          <w:sz w:val="21"/>
          <w:szCs w:val="21"/>
        </w:rPr>
        <w:t xml:space="preserve">Campaign filter </w:t>
      </w:r>
      <w:r>
        <w:rPr>
          <w:rFonts w:ascii="Quicksand" w:cs="Quicksand" w:eastAsia="Quicksand" w:hAnsi="Quicksand"/>
          <w:sz w:val="21"/>
          <w:szCs w:val="21"/>
        </w:rPr>
        <w:t xml:space="preserve">— dropdown in page header, filters file list by campaignRef, updates URL query parameter. Add ?campaign= support to browse endpoint.</w:t>
      </w:r>
    </w:p>
    <w:p>
      <w:pPr>
        <w:pStyle w:val="ListParagraph"/>
        <w:numPr>
          <w:ilvl w:val="0"/>
          <w:numId w:val="3"/>
        </w:numPr>
        <w:spacing w:after="60"/>
      </w:pPr>
      <w:r>
        <w:rPr>
          <w:rFonts w:ascii="Quicksand" w:cs="Quicksand" w:eastAsia="Quicksand" w:hAnsi="Quicksand"/>
          <w:b/>
          <w:bCs/>
          <w:sz w:val="21"/>
          <w:szCs w:val="21"/>
        </w:rPr>
        <w:t xml:space="preserve">Campaign Documents card </w:t>
      </w:r>
      <w:r>
        <w:rPr>
          <w:rFonts w:ascii="Quicksand" w:cs="Quicksand" w:eastAsia="Quicksand" w:hAnsi="Quicksand"/>
          <w:sz w:val="21"/>
          <w:szCs w:val="21"/>
        </w:rPr>
        <w:t xml:space="preserve">— CampaignDocumentsCard component on campaign detail page. Fetches documents with campaignRef filter. Read-only grouped view with file name links. “View all” navigates to Documents page pre-filtered.</w:t>
      </w:r>
    </w:p>
    <w:p>
      <w:pPr>
        <w:pStyle w:val="ListParagraph"/>
        <w:numPr>
          <w:ilvl w:val="0"/>
          <w:numId w:val="3"/>
        </w:numPr>
        <w:spacing w:after="60"/>
      </w:pPr>
      <w:r>
        <w:rPr>
          <w:rFonts w:ascii="Quicksand" w:cs="Quicksand" w:eastAsia="Quicksand" w:hAnsi="Quicksand"/>
          <w:b/>
          <w:bCs/>
          <w:sz w:val="21"/>
          <w:szCs w:val="21"/>
        </w:rPr>
        <w:t xml:space="preserve">Register unregistered files </w:t>
      </w:r>
      <w:r>
        <w:rPr>
          <w:rFonts w:ascii="Quicksand" w:cs="Quicksand" w:eastAsia="Quicksand" w:hAnsi="Quicksand"/>
          <w:sz w:val="21"/>
          <w:szCs w:val="21"/>
        </w:rPr>
        <w:t xml:space="preserve">— info banner when hasUnregisteredContent is true, toggle to show Drive-sourced browse, register action in three-dot menu calling register endpoint with folderCategory</w:t>
      </w:r>
    </w:p>
    <w:p>
      <w:pPr>
        <w:pStyle w:val="ListParagraph"/>
        <w:numPr>
          <w:ilvl w:val="0"/>
          <w:numId w:val="3"/>
        </w:numPr>
        <w:spacing w:after="60"/>
      </w:pPr>
      <w:r>
        <w:rPr>
          <w:rFonts w:ascii="Quicksand" w:cs="Quicksand" w:eastAsia="Quicksand" w:hAnsi="Quicksand"/>
          <w:b/>
          <w:bCs/>
          <w:sz w:val="21"/>
          <w:szCs w:val="21"/>
        </w:rPr>
        <w:t xml:space="preserve">Polish </w:t>
      </w:r>
      <w:r>
        <w:rPr>
          <w:rFonts w:ascii="Quicksand" w:cs="Quicksand" w:eastAsia="Quicksand" w:hAnsi="Quicksand"/>
          <w:sz w:val="21"/>
          <w:szCs w:val="21"/>
        </w:rPr>
        <w:t xml:space="preserve">— loading skeletons for folder tree and file list, error states, empty states per folder, responsive behaviour if needed</w:t>
      </w:r>
    </w:p>
    <w:p>
      <w:pPr>
        <w:pBdr>
          <w:bottom w:val="single" w:color="3B7584" w:sz="4" w:space="8"/>
        </w:pBdr>
        <w:spacing w:after="200" w:before="200"/>
      </w:pPr>
    </w:p>
    <w:p>
      <w:pPr>
        <w:pStyle w:val="Heading1"/>
        <w:spacing w:after="150" w:before="300"/>
      </w:pPr>
      <w:r>
        <w:t xml:space="preserve">11. Definition of done</w:t>
      </w:r>
    </w:p>
    <w:p>
      <w:pPr>
        <w:spacing w:after="120"/>
      </w:pPr>
      <w:r>
        <w:rPr>
          <w:rFonts w:ascii="Quicksand" w:cs="Quicksand" w:eastAsia="Quicksand" w:hAnsi="Quicksand"/>
          <w:sz w:val="21"/>
          <w:szCs w:val="21"/>
        </w:rPr>
        <w:t xml:space="preserve">Acceptance criteria, tested per role:</w:t>
      </w:r>
    </w:p>
    <w:p>
      <w:pPr>
        <w:spacing w:after="80"/>
      </w:pPr>
    </w:p>
    <w:p>
      <w:pPr>
        <w:spacing w:after="120"/>
      </w:pPr>
      <w:r>
        <w:rPr>
          <w:rFonts w:ascii="Quicksand" w:cs="Quicksand" w:eastAsia="Quicksand" w:hAnsi="Quicksand"/>
          <w:b/>
          <w:bCs/>
          <w:sz w:val="21"/>
          <w:szCs w:val="21"/>
        </w:rPr>
        <w:t xml:space="preserve">Documents page:</w:t>
      </w:r>
    </w:p>
    <w:p>
      <w:pPr>
        <w:pStyle w:val="ListParagraph"/>
        <w:numPr>
          <w:ilvl w:val="0"/>
          <w:numId w:val="3"/>
        </w:numPr>
        <w:spacing w:after="60"/>
      </w:pPr>
      <w:r>
        <w:rPr>
          <w:rFonts w:ascii="Quicksand" w:cs="Quicksand" w:eastAsia="Quicksand" w:hAnsi="Quicksand"/>
          <w:b/>
          <w:bCs/>
          <w:sz w:val="21"/>
          <w:szCs w:val="21"/>
        </w:rPr>
        <w:t xml:space="preserve">AC1: </w:t>
      </w:r>
      <w:r>
        <w:rPr>
          <w:rFonts w:ascii="Quicksand" w:cs="Quicksand" w:eastAsia="Quicksand" w:hAnsi="Quicksand"/>
          <w:sz w:val="21"/>
          <w:szCs w:val="21"/>
        </w:rPr>
        <w:t xml:space="preserve">Internal-admin can see all folders including internal-only folders with amber badge. Client-viewer sees only client-visible folders. Internal-only folders are hidden from client users, not greyed out.</w:t>
      </w:r>
    </w:p>
    <w:p>
      <w:pPr>
        <w:pStyle w:val="ListParagraph"/>
        <w:numPr>
          <w:ilvl w:val="0"/>
          <w:numId w:val="3"/>
        </w:numPr>
        <w:spacing w:after="60"/>
      </w:pPr>
      <w:r>
        <w:rPr>
          <w:rFonts w:ascii="Quicksand" w:cs="Quicksand" w:eastAsia="Quicksand" w:hAnsi="Quicksand"/>
          <w:b/>
          <w:bCs/>
          <w:sz w:val="21"/>
          <w:szCs w:val="21"/>
        </w:rPr>
        <w:t xml:space="preserve">AC2: </w:t>
      </w:r>
      <w:r>
        <w:rPr>
          <w:rFonts w:ascii="Quicksand" w:cs="Quicksand" w:eastAsia="Quicksand" w:hAnsi="Quicksand"/>
          <w:sz w:val="21"/>
          <w:szCs w:val="21"/>
        </w:rPr>
        <w:t xml:space="preserve">Selecting a folder shows its files. Upload button appears for non-container folders where the user’s role permits upload. No upload button in grouped default view.</w:t>
      </w:r>
    </w:p>
    <w:p>
      <w:pPr>
        <w:pStyle w:val="ListParagraph"/>
        <w:numPr>
          <w:ilvl w:val="0"/>
          <w:numId w:val="3"/>
        </w:numPr>
        <w:spacing w:after="60"/>
      </w:pPr>
      <w:r>
        <w:rPr>
          <w:rFonts w:ascii="Quicksand" w:cs="Quicksand" w:eastAsia="Quicksand" w:hAnsi="Quicksand"/>
          <w:b/>
          <w:bCs/>
          <w:sz w:val="21"/>
          <w:szCs w:val="21"/>
        </w:rPr>
        <w:t xml:space="preserve">AC3: </w:t>
      </w:r>
      <w:r>
        <w:rPr>
          <w:rFonts w:ascii="Quicksand" w:cs="Quicksand" w:eastAsia="Quicksand" w:hAnsi="Quicksand"/>
          <w:sz w:val="21"/>
          <w:szCs w:val="21"/>
        </w:rPr>
        <w:t xml:space="preserve">Internal user clicks file name → Google editor opens in new tab (correct URL for Docs/Sheets/Slides/other). Client user clicks file name → file downloads via Exchange endpoint.</w:t>
      </w:r>
    </w:p>
    <w:p>
      <w:pPr>
        <w:pStyle w:val="ListParagraph"/>
        <w:numPr>
          <w:ilvl w:val="0"/>
          <w:numId w:val="3"/>
        </w:numPr>
        <w:spacing w:after="60"/>
      </w:pPr>
      <w:r>
        <w:rPr>
          <w:rFonts w:ascii="Quicksand" w:cs="Quicksand" w:eastAsia="Quicksand" w:hAnsi="Quicksand"/>
          <w:b/>
          <w:bCs/>
          <w:sz w:val="21"/>
          <w:szCs w:val="21"/>
        </w:rPr>
        <w:t xml:space="preserve">AC4: </w:t>
      </w:r>
      <w:r>
        <w:rPr>
          <w:rFonts w:ascii="Quicksand" w:cs="Quicksand" w:eastAsia="Quicksand" w:hAnsi="Quicksand"/>
          <w:sz w:val="21"/>
          <w:szCs w:val="21"/>
        </w:rPr>
        <w:t xml:space="preserve">Three-dot menu shows role-appropriate actions. Rename updates the file name inline. Link to campaign shows campaign picker and updates the pill. Delete shows confirmation and soft-deletes.</w:t>
      </w:r>
    </w:p>
    <w:p>
      <w:pPr>
        <w:pStyle w:val="ListParagraph"/>
        <w:numPr>
          <w:ilvl w:val="0"/>
          <w:numId w:val="3"/>
        </w:numPr>
        <w:spacing w:after="60"/>
      </w:pPr>
      <w:r>
        <w:rPr>
          <w:rFonts w:ascii="Quicksand" w:cs="Quicksand" w:eastAsia="Quicksand" w:hAnsi="Quicksand"/>
          <w:b/>
          <w:bCs/>
          <w:sz w:val="21"/>
          <w:szCs w:val="21"/>
        </w:rPr>
        <w:t xml:space="preserve">AC5: </w:t>
      </w:r>
      <w:r>
        <w:rPr>
          <w:rFonts w:ascii="Quicksand" w:cs="Quicksand" w:eastAsia="Quicksand" w:hAnsi="Quicksand"/>
          <w:sz w:val="21"/>
          <w:szCs w:val="21"/>
        </w:rPr>
        <w:t xml:space="preserve">Upload: file picker opens, file uploads to correct folder, new file appears in list. Client-approver upload triggers auto-action (verify in Firestore). Files over 50MB rejected client-side.</w:t>
      </w:r>
    </w:p>
    <w:p>
      <w:pPr>
        <w:pStyle w:val="ListParagraph"/>
        <w:numPr>
          <w:ilvl w:val="0"/>
          <w:numId w:val="3"/>
        </w:numPr>
        <w:spacing w:after="60"/>
      </w:pPr>
      <w:r>
        <w:rPr>
          <w:rFonts w:ascii="Quicksand" w:cs="Quicksand" w:eastAsia="Quicksand" w:hAnsi="Quicksand"/>
          <w:b/>
          <w:bCs/>
          <w:sz w:val="21"/>
          <w:szCs w:val="21"/>
        </w:rPr>
        <w:t xml:space="preserve">AC6: </w:t>
      </w:r>
      <w:r>
        <w:rPr>
          <w:rFonts w:ascii="Quicksand" w:cs="Quicksand" w:eastAsia="Quicksand" w:hAnsi="Quicksand"/>
          <w:sz w:val="21"/>
          <w:szCs w:val="21"/>
        </w:rPr>
        <w:t xml:space="preserve">Campaign filter dropdown filters files by campaignRef. Empty folders shown greyed out when filter is active. URL query parameter updates so the page is linkable.</w:t>
      </w:r>
    </w:p>
    <w:p>
      <w:pPr>
        <w:spacing w:after="80"/>
      </w:pPr>
    </w:p>
    <w:p>
      <w:pPr>
        <w:spacing w:after="120"/>
      </w:pPr>
      <w:r>
        <w:rPr>
          <w:rFonts w:ascii="Quicksand" w:cs="Quicksand" w:eastAsia="Quicksand" w:hAnsi="Quicksand"/>
          <w:b/>
          <w:bCs/>
          <w:sz w:val="21"/>
          <w:szCs w:val="21"/>
        </w:rPr>
        <w:t xml:space="preserve">Campaign detail card:</w:t>
      </w:r>
    </w:p>
    <w:p>
      <w:pPr>
        <w:pStyle w:val="ListParagraph"/>
        <w:numPr>
          <w:ilvl w:val="0"/>
          <w:numId w:val="3"/>
        </w:numPr>
        <w:spacing w:after="60"/>
      </w:pPr>
      <w:r>
        <w:rPr>
          <w:rFonts w:ascii="Quicksand" w:cs="Quicksand" w:eastAsia="Quicksand" w:hAnsi="Quicksand"/>
          <w:b/>
          <w:bCs/>
          <w:sz w:val="21"/>
          <w:szCs w:val="21"/>
        </w:rPr>
        <w:t xml:space="preserve">AC7: </w:t>
      </w:r>
      <w:r>
        <w:rPr>
          <w:rFonts w:ascii="Quicksand" w:cs="Quicksand" w:eastAsia="Quicksand" w:hAnsi="Quicksand"/>
          <w:sz w:val="21"/>
          <w:szCs w:val="21"/>
        </w:rPr>
        <w:t xml:space="preserve">Documents section card appears on campaign detail page. Shows files linked to that campaign grouped by folder. “View all” link navigates to /clients/{clientId}/documents?campaign={campaignId}.</w:t>
      </w:r>
    </w:p>
    <w:p>
      <w:pPr>
        <w:pStyle w:val="ListParagraph"/>
        <w:numPr>
          <w:ilvl w:val="0"/>
          <w:numId w:val="3"/>
        </w:numPr>
        <w:spacing w:after="60"/>
      </w:pPr>
      <w:r>
        <w:rPr>
          <w:rFonts w:ascii="Quicksand" w:cs="Quicksand" w:eastAsia="Quicksand" w:hAnsi="Quicksand"/>
          <w:b/>
          <w:bCs/>
          <w:sz w:val="21"/>
          <w:szCs w:val="21"/>
        </w:rPr>
        <w:t xml:space="preserve">AC8: </w:t>
      </w:r>
      <w:r>
        <w:rPr>
          <w:rFonts w:ascii="Quicksand" w:cs="Quicksand" w:eastAsia="Quicksand" w:hAnsi="Quicksand"/>
          <w:sz w:val="21"/>
          <w:szCs w:val="21"/>
        </w:rPr>
        <w:t xml:space="preserve">File names in campaign card are clickable — same role-dependent behaviour as Documents page (Google editor for internal, download for client).</w:t>
      </w:r>
    </w:p>
    <w:p>
      <w:pPr>
        <w:pStyle w:val="ListParagraph"/>
        <w:numPr>
          <w:ilvl w:val="0"/>
          <w:numId w:val="3"/>
        </w:numPr>
        <w:spacing w:after="60"/>
      </w:pPr>
      <w:r>
        <w:rPr>
          <w:rFonts w:ascii="Quicksand" w:cs="Quicksand" w:eastAsia="Quicksand" w:hAnsi="Quicksand"/>
          <w:b/>
          <w:bCs/>
          <w:sz w:val="21"/>
          <w:szCs w:val="21"/>
        </w:rPr>
        <w:t xml:space="preserve">AC9: </w:t>
      </w:r>
      <w:r>
        <w:rPr>
          <w:rFonts w:ascii="Quicksand" w:cs="Quicksand" w:eastAsia="Quicksand" w:hAnsi="Quicksand"/>
          <w:sz w:val="21"/>
          <w:szCs w:val="21"/>
        </w:rPr>
        <w:t xml:space="preserve">Empty state shown when no documents linked to campaign. Internal users see hint about linking documents.</w:t>
      </w:r>
    </w:p>
    <w:p>
      <w:pPr>
        <w:spacing w:after="80"/>
      </w:pPr>
    </w:p>
    <w:p>
      <w:pPr>
        <w:spacing w:after="120"/>
      </w:pPr>
      <w:r>
        <w:rPr>
          <w:rFonts w:ascii="Quicksand" w:cs="Quicksand" w:eastAsia="Quicksand" w:hAnsi="Quicksand"/>
          <w:b/>
          <w:bCs/>
          <w:sz w:val="21"/>
          <w:szCs w:val="21"/>
        </w:rPr>
        <w:t xml:space="preserve">Register flow (internal only):</w:t>
      </w:r>
    </w:p>
    <w:p>
      <w:pPr>
        <w:pStyle w:val="ListParagraph"/>
        <w:numPr>
          <w:ilvl w:val="0"/>
          <w:numId w:val="3"/>
        </w:numPr>
        <w:spacing w:after="60"/>
      </w:pPr>
      <w:r>
        <w:rPr>
          <w:rFonts w:ascii="Quicksand" w:cs="Quicksand" w:eastAsia="Quicksand" w:hAnsi="Quicksand"/>
          <w:b/>
          <w:bCs/>
          <w:sz w:val="21"/>
          <w:szCs w:val="21"/>
        </w:rPr>
        <w:t xml:space="preserve">AC10: </w:t>
      </w:r>
      <w:r>
        <w:rPr>
          <w:rFonts w:ascii="Quicksand" w:cs="Quicksand" w:eastAsia="Quicksand" w:hAnsi="Quicksand"/>
          <w:sz w:val="21"/>
          <w:szCs w:val="21"/>
        </w:rPr>
        <w:t xml:space="preserve">When unregistered Drive files exist, info banner shown. Internal user can view and register unregistered files via three-dot menu. Registered files appear in subsequent browse.</w:t>
      </w:r>
    </w:p>
    <w:p>
      <w:pPr>
        <w:pBdr>
          <w:bottom w:val="single" w:color="3B7584" w:sz="4" w:space="8"/>
        </w:pBdr>
        <w:spacing w:after="200" w:before="200"/>
      </w:pPr>
    </w:p>
    <w:p>
      <w:pPr>
        <w:pStyle w:val="Heading1"/>
        <w:spacing w:after="150" w:before="300"/>
      </w:pPr>
      <w:r>
        <w:t xml:space="preserve">12. What this slice does NOT include</w:t>
      </w:r>
    </w:p>
    <w:p>
      <w:pPr>
        <w:pStyle w:val="ListParagraph"/>
        <w:numPr>
          <w:ilvl w:val="0"/>
          <w:numId w:val="2"/>
        </w:numPr>
        <w:spacing w:after="60"/>
      </w:pPr>
      <w:r>
        <w:rPr>
          <w:rFonts w:ascii="Quicksand" w:cs="Quicksand" w:eastAsia="Quicksand" w:hAnsi="Quicksand"/>
          <w:b/>
          <w:bCs/>
          <w:sz w:val="21"/>
          <w:szCs w:val="21"/>
        </w:rPr>
        <w:t xml:space="preserve">Notifications </w:t>
      </w:r>
      <w:r>
        <w:rPr>
          <w:rFonts w:ascii="Quicksand" w:cs="Quicksand" w:eastAsia="Quicksand" w:hAnsi="Quicksand"/>
          <w:sz w:val="21"/>
          <w:szCs w:val="21"/>
        </w:rPr>
        <w:t xml:space="preserve">— deferred to a separate cross-cutting slice. Client uploads trigger auto-actions (already built) but no push notifications or in-app notification centre.</w:t>
      </w:r>
    </w:p>
    <w:p>
      <w:pPr>
        <w:pStyle w:val="ListParagraph"/>
        <w:numPr>
          <w:ilvl w:val="0"/>
          <w:numId w:val="2"/>
        </w:numPr>
        <w:spacing w:after="60"/>
      </w:pPr>
      <w:r>
        <w:rPr>
          <w:rFonts w:ascii="Quicksand" w:cs="Quicksand" w:eastAsia="Quicksand" w:hAnsi="Quicksand"/>
          <w:b/>
          <w:bCs/>
          <w:sz w:val="21"/>
          <w:szCs w:val="21"/>
        </w:rPr>
        <w:t xml:space="preserve">Approval workflow on documents </w:t>
      </w:r>
      <w:r>
        <w:rPr>
          <w:rFonts w:ascii="Quicksand" w:cs="Quicksand" w:eastAsia="Quicksand" w:hAnsi="Quicksand"/>
          <w:sz w:val="21"/>
          <w:szCs w:val="21"/>
        </w:rPr>
        <w:t xml:space="preserve">— the approval pattern is designed but not yet built. Scripts and other documents needing client sign-off will use the approval system in a future slice.</w:t>
      </w:r>
    </w:p>
    <w:p>
      <w:pPr>
        <w:pStyle w:val="ListParagraph"/>
        <w:numPr>
          <w:ilvl w:val="0"/>
          <w:numId w:val="2"/>
        </w:numPr>
        <w:spacing w:after="60"/>
      </w:pPr>
      <w:r>
        <w:rPr>
          <w:rFonts w:ascii="Quicksand" w:cs="Quicksand" w:eastAsia="Quicksand" w:hAnsi="Quicksand"/>
          <w:b/>
          <w:bCs/>
          <w:sz w:val="21"/>
          <w:szCs w:val="21"/>
        </w:rPr>
        <w:t xml:space="preserve">Drag-and-drop upload </w:t>
      </w:r>
      <w:r>
        <w:rPr>
          <w:rFonts w:ascii="Quicksand" w:cs="Quicksand" w:eastAsia="Quicksand" w:hAnsi="Quicksand"/>
          <w:sz w:val="21"/>
          <w:szCs w:val="21"/>
        </w:rPr>
        <w:t xml:space="preserve">— native file picker is sufficient for v1. Drag-and-drop can be added later if usage patterns warrant it.</w:t>
      </w:r>
    </w:p>
    <w:p>
      <w:pPr>
        <w:pStyle w:val="ListParagraph"/>
        <w:numPr>
          <w:ilvl w:val="0"/>
          <w:numId w:val="2"/>
        </w:numPr>
        <w:spacing w:after="60"/>
      </w:pPr>
      <w:r>
        <w:rPr>
          <w:rFonts w:ascii="Quicksand" w:cs="Quicksand" w:eastAsia="Quicksand" w:hAnsi="Quicksand"/>
          <w:b/>
          <w:bCs/>
          <w:sz w:val="21"/>
          <w:szCs w:val="21"/>
        </w:rPr>
        <w:t xml:space="preserve">File preview </w:t>
      </w:r>
      <w:r>
        <w:rPr>
          <w:rFonts w:ascii="Quicksand" w:cs="Quicksand" w:eastAsia="Quicksand" w:hAnsi="Quicksand"/>
          <w:sz w:val="21"/>
          <w:szCs w:val="21"/>
        </w:rPr>
        <w:t xml:space="preserve">— no in-Exchange preview pane. Internal users open in Google. Client users download. A preview feature could be considered later.</w:t>
      </w:r>
    </w:p>
    <w:p>
      <w:pPr>
        <w:pStyle w:val="ListParagraph"/>
        <w:numPr>
          <w:ilvl w:val="0"/>
          <w:numId w:val="2"/>
        </w:numPr>
        <w:spacing w:after="60"/>
      </w:pPr>
      <w:r>
        <w:rPr>
          <w:rFonts w:ascii="Quicksand" w:cs="Quicksand" w:eastAsia="Quicksand" w:hAnsi="Quicksand"/>
          <w:b/>
          <w:bCs/>
          <w:sz w:val="21"/>
          <w:szCs w:val="21"/>
        </w:rPr>
        <w:t xml:space="preserve">Move files between folders </w:t>
      </w:r>
      <w:r>
        <w:rPr>
          <w:rFonts w:ascii="Quicksand" w:cs="Quicksand" w:eastAsia="Quicksand" w:hAnsi="Quicksand"/>
          <w:sz w:val="21"/>
          <w:szCs w:val="21"/>
        </w:rPr>
        <w:t xml:space="preserve">— not in scope. Files live in the folder they were uploaded to. If needed, delete and re-upload.</w:t>
      </w:r>
    </w:p>
    <w:p>
      <w:pPr>
        <w:pStyle w:val="ListParagraph"/>
        <w:numPr>
          <w:ilvl w:val="0"/>
          <w:numId w:val="2"/>
        </w:numPr>
        <w:spacing w:after="60"/>
      </w:pPr>
      <w:r>
        <w:rPr>
          <w:rFonts w:ascii="Quicksand" w:cs="Quicksand" w:eastAsia="Quicksand" w:hAnsi="Quicksand"/>
          <w:b/>
          <w:bCs/>
          <w:sz w:val="21"/>
          <w:szCs w:val="21"/>
        </w:rPr>
        <w:t xml:space="preserve">Bulk operations </w:t>
      </w:r>
      <w:r>
        <w:rPr>
          <w:rFonts w:ascii="Quicksand" w:cs="Quicksand" w:eastAsia="Quicksand" w:hAnsi="Quicksand"/>
          <w:sz w:val="21"/>
          <w:szCs w:val="21"/>
        </w:rPr>
        <w:t xml:space="preserve">— no multi-select, bulk delete, or bulk campaign tagging. Single-file operations only for v1.</w:t>
      </w:r>
    </w:p>
    <w:p>
      <w:pPr>
        <w:pStyle w:val="ListParagraph"/>
        <w:numPr>
          <w:ilvl w:val="0"/>
          <w:numId w:val="2"/>
        </w:numPr>
        <w:spacing w:after="60"/>
      </w:pPr>
      <w:r>
        <w:rPr>
          <w:rFonts w:ascii="Quicksand" w:cs="Quicksand" w:eastAsia="Quicksand" w:hAnsi="Quicksand"/>
          <w:b/>
          <w:bCs/>
          <w:sz w:val="21"/>
          <w:szCs w:val="21"/>
        </w:rPr>
        <w:t xml:space="preserve">Version history </w:t>
      </w:r>
      <w:r>
        <w:rPr>
          <w:rFonts w:ascii="Quicksand" w:cs="Quicksand" w:eastAsia="Quicksand" w:hAnsi="Quicksand"/>
          <w:sz w:val="21"/>
          <w:szCs w:val="21"/>
        </w:rPr>
        <w:t xml:space="preserve">— Google Drive handles version history natively. Exchange does not surface version history in its UI.</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7584" w:sz="2" w:space="6"/>
      </w:pBdr>
      <w:tabs>
        <w:tab w:val="right" w:pos="9026"/>
      </w:tabs>
    </w:pPr>
    <w:r>
      <w:rPr>
        <w:rFonts w:ascii="Quicksand" w:cs="Quicksand" w:eastAsia="Quicksand" w:hAnsi="Quicksand"/>
        <w:color w:val="827786"/>
        <w:sz w:val="16"/>
        <w:szCs w:val="16"/>
      </w:rPr>
      <w:t xml:space="preserve">Angsana Consulting</w:t>
    </w:r>
    <w:r>
      <w:rPr>
        <w:rFonts w:ascii="Quicksand" w:cs="Quicksand" w:eastAsia="Quicksand" w:hAnsi="Quicksand"/>
        <w:color w:val="827786"/>
        <w:sz w:val="16"/>
        <w:szCs w:val="16"/>
      </w:rPr>
      <w:t xml:space="preserve">	Page </w:t>
    </w:r>
    <w:r>
      <w:rPr>
        <w:rFonts w:ascii="Quicksand" w:cs="Quicksand" w:eastAsia="Quicksand" w:hAnsi="Quicksand"/>
        <w:color w:val="8277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584" w:sz="2" w:space="6"/>
      </w:pBdr>
      <w:tabs>
        <w:tab w:val="right" w:pos="9026"/>
      </w:tabs>
    </w:pPr>
    <w:r>
      <w:rPr>
        <w:rFonts w:ascii="Quicksand" w:cs="Quicksand" w:eastAsia="Quicksand" w:hAnsi="Quicksand"/>
        <w:color w:val="827786"/>
        <w:sz w:val="16"/>
        <w:szCs w:val="16"/>
      </w:rPr>
      <w:t xml:space="preserve">Angsana Exchange — Slice 7A Steps 5–6</w:t>
    </w:r>
    <w:r>
      <w:rPr>
        <w:rFonts w:ascii="Quicksand" w:cs="Quicksand" w:eastAsia="Quicksand" w:hAnsi="Quicksand"/>
        <w:color w:val="82778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Quicksand" w:cs="Quicksand" w:eastAsia="Quicksand" w:hAnsi="Quicksa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Quicksand" w:cs="Quicksand" w:eastAsia="Quicksand" w:hAnsi="Quicksand"/>
      <w:b/>
      <w:bCs/>
      <w:color w:val="004156"/>
      <w:sz w:val="30"/>
      <w:szCs w:val="30"/>
    </w:rPr>
  </w:style>
  <w:style w:type="paragraph" w:styleId="Heading2">
    <w:name w:val="Heading 2"/>
    <w:basedOn w:val="Normal"/>
    <w:next w:val="Normal"/>
    <w:qFormat/>
    <w:pPr>
      <w:spacing w:after="120" w:before="240"/>
      <w:outlineLvl w:val="1"/>
    </w:pPr>
    <w:rPr>
      <w:rFonts w:ascii="Quicksand" w:cs="Quicksand" w:eastAsia="Quicksand" w:hAnsi="Quicksand"/>
      <w:b/>
      <w:bCs/>
      <w:color w:val="3B75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2026-04-10T08:52:34.106Z</dcterms:created>
  <dcterms:modified xsi:type="dcterms:W3CDTF">2026-04-10T08:52:34.107Z</dcterms:modified>
</cp:coreProperties>
</file>

<file path=docProps/custom.xml><?xml version="1.0" encoding="utf-8"?>
<Properties xmlns="http://schemas.openxmlformats.org/officeDocument/2006/custom-properties" xmlns:vt="http://schemas.openxmlformats.org/officeDocument/2006/docPropsVTypes"/>
</file>