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fessionalTitle"/>
      </w:pPr>
      <w:r>
        <w:t>UIRI Inventory Management System</w:t>
      </w:r>
    </w:p>
    <w:p>
      <w:pPr>
        <w:pStyle w:val="ProfessionalTitle"/>
      </w:pPr>
      <w:r>
        <w:rPr>
          <w:sz w:val="44"/>
        </w:rPr>
        <w:t>Database Design &amp; System Architecture</w:t>
      </w:r>
    </w:p>
    <w:p>
      <w:pPr>
        <w:pStyle w:val="ProfessionalTitle"/>
      </w:pPr>
      <w:r>
        <w:rPr>
          <w:sz w:val="28"/>
        </w:rPr>
        <w:t>Version 2.0 - Professional Revision</w:t>
      </w:r>
    </w:p>
    <w:p>
      <w:r>
        <w:br/>
        <w:br/>
        <w:br/>
      </w:r>
    </w:p>
    <w:p>
      <w:pPr>
        <w:jc w:val="center"/>
      </w:pPr>
      <w:r>
        <w:rPr>
          <w:i/>
          <w:sz w:val="24"/>
        </w:rPr>
        <w:t>Uganda Industrial Research Institute (UIRI)</w:t>
        <w:br/>
        <w:t>Prepared by: Systems Development Team</w:t>
        <w:br/>
        <w:t>Date: July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outlines the revised database design and system architecture for the UIRI Inventory Management System (IMS). It integrates the Data Dictionary, logical Entity-Relationship Diagram (ERD), and System Use Cases to provide a comprehensive view of the system's data structures and interactions.</w:t>
      </w:r>
    </w:p>
    <w:p>
      <w:r>
        <w:t>The database is designed to handle multi-branch inventory tracking, procurement workflows, stock movements, and strict role-based access control (RBAC).</w:t>
      </w:r>
    </w:p>
    <w:p>
      <w:pPr>
        <w:pStyle w:val="Heading1"/>
      </w:pPr>
      <w:r>
        <w:t>2. System Architecture &amp; Use Cases</w:t>
      </w:r>
    </w:p>
    <w:p>
      <w:r>
        <w:t>The UIRI IMS caters to various actors including Administrators, Storekeepers, Department Heads, and standard Staff. The following diagram illustrates the core use cases and interactions within the system: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9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s_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UIRI IMS System Use Cases</w:t>
      </w:r>
    </w:p>
    <w:p>
      <w:pPr>
        <w:pStyle w:val="Heading1"/>
      </w:pPr>
      <w:r>
        <w:t>3. Logical Database Design (ERD)</w:t>
      </w:r>
    </w:p>
    <w:p>
      <w:r>
        <w:t>The logical ERD represents the conceptual structure of the UIRI IMS database. It is segmented into distinct domains: Organization &amp; Access, Catalog &amp; Inventory Master, Stock Operations, Procurement, and Equipment Maintenance.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19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te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Conceptual Entity-Relationship Diagram</w:t>
      </w:r>
    </w:p>
    <w:p>
      <w:pPr>
        <w:pStyle w:val="Heading1"/>
      </w:pPr>
      <w:r>
        <w:t>4. Data Dictionary (Core Entities)</w:t>
      </w:r>
    </w:p>
    <w:p>
      <w:r>
        <w:t>The following section details the core entities within the system, replacing the legacy Data Dictionary with an updated understanding of the schema.</w:t>
      </w:r>
    </w:p>
    <w:p>
      <w:pPr>
        <w:pStyle w:val="Heading2"/>
      </w:pPr>
      <w:r>
        <w:t>4.1 Users &amp; Authentication (users)</w:t>
      </w:r>
    </w:p>
    <w:p>
      <w:r>
        <w:t>Manages system access and role assignment.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AI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Login name</w:t>
            </w:r>
          </w:p>
        </w:tc>
      </w:tr>
      <w:tr>
        <w:tc>
          <w:tcPr>
            <w:tcW w:type="dxa" w:w="2160"/>
          </w:tcPr>
          <w:p>
            <w:r>
              <w:t>role_id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roles(id)</w:t>
            </w:r>
          </w:p>
        </w:tc>
      </w:tr>
      <w:tr>
        <w:tc>
          <w:tcPr>
            <w:tcW w:type="dxa" w:w="2160"/>
          </w:tcPr>
          <w:p>
            <w:r>
              <w:t>branch_id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branches(id)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hashed password</w:t>
            </w:r>
          </w:p>
        </w:tc>
      </w:tr>
    </w:tbl>
    <w:p>
      <w:r>
        <w:br/>
      </w:r>
    </w:p>
    <w:p>
      <w:pPr>
        <w:pStyle w:val="Heading2"/>
      </w:pPr>
      <w:r>
        <w:t>4.2 Inventory Master (items)</w:t>
      </w:r>
    </w:p>
    <w:p>
      <w:r>
        <w:t>Core catalog of all items tracked across branches.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AI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item_code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SKU or Barcode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Item name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References categories(id)</w:t>
            </w:r>
          </w:p>
        </w:tc>
      </w:tr>
      <w:tr>
        <w:tc>
          <w:tcPr>
            <w:tcW w:type="dxa" w:w="2160"/>
          </w:tcPr>
          <w:p>
            <w:r>
              <w:t>minimum_stock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Reorder threshold</w:t>
            </w:r>
          </w:p>
        </w:tc>
      </w:tr>
    </w:tbl>
    <w:p>
      <w:r>
        <w:br/>
      </w:r>
    </w:p>
    <w:p>
      <w:pPr>
        <w:pStyle w:val="Heading2"/>
      </w:pPr>
      <w:r>
        <w:t>4.3 Stock Transactions (stock_transactions)</w:t>
      </w:r>
    </w:p>
    <w:p>
      <w:r>
        <w:t>Immutable ledger of all stock movements (IN/OUT/ADJ).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AI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item_id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FK, NOT NULL</w:t>
            </w:r>
          </w:p>
        </w:tc>
        <w:tc>
          <w:tcPr>
            <w:tcW w:type="dxa" w:w="2160"/>
          </w:tcPr>
          <w:p>
            <w:r>
              <w:t>References items(id)</w:t>
            </w:r>
          </w:p>
        </w:tc>
      </w:tr>
      <w:tr>
        <w:tc>
          <w:tcPr>
            <w:tcW w:type="dxa" w:w="2160"/>
          </w:tcPr>
          <w:p>
            <w:r>
              <w:t>branch_id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FK, NOT NULL</w:t>
            </w:r>
          </w:p>
        </w:tc>
        <w:tc>
          <w:tcPr>
            <w:tcW w:type="dxa" w:w="2160"/>
          </w:tcPr>
          <w:p>
            <w:r>
              <w:t>References branches(id)</w:t>
            </w:r>
          </w:p>
        </w:tc>
      </w:tr>
      <w:tr>
        <w:tc>
          <w:tcPr>
            <w:tcW w:type="dxa" w:w="2160"/>
          </w:tcPr>
          <w:p>
            <w:r>
              <w:t>transaction_type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'IN', 'OUT', or 'ADJUSTMENT'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Amount moved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FK, NOT NULL</w:t>
            </w:r>
          </w:p>
        </w:tc>
        <w:tc>
          <w:tcPr>
            <w:tcW w:type="dxa" w:w="2160"/>
          </w:tcPr>
          <w:p>
            <w:r>
              <w:t>User who performed action</w:t>
            </w:r>
          </w:p>
        </w:tc>
      </w:tr>
    </w:tbl>
    <w:p>
      <w:pPr>
        <w:pStyle w:val="Heading1"/>
      </w:pPr>
      <w:r>
        <w:t>5. Conclusion</w:t>
      </w:r>
    </w:p>
    <w:p>
      <w:r>
        <w:t>The revised architecture implements strong data integrity via foreign key constraints, optimizes reporting through structured categorical entities, and ensures accountability via the comprehensive stock_transactions ledger and audit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fessionalTitle">
    <w:name w:val="ProfessionalTitle"/>
    <w:pPr>
      <w:spacing w:after="480"/>
      <w:jc w:val="center"/>
    </w:pPr>
    <w:rPr>
      <w:rFonts w:ascii="Arial" w:hAnsi="Arial"/>
      <w:b/>
      <w:color w:val="0F243E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