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666666"/>
          <w:sz w:val="40"/>
          <w:szCs w:val="40"/>
        </w:rPr>
        <w:t xml:space="preserve">BUSINESS PLAN &amp; STRATEGIC ROADMAP</w:t>
      </w:r>
    </w:p>
    <w:p>
      <w:pPr>
        <w:spacing w:after="200"/>
        <w:jc w:val="center"/>
      </w:pPr>
      <w:r>
        <w:rPr>
          <w:rFonts w:ascii="Garamond" w:cs="Garamond" w:eastAsia="Garamond" w:hAnsi="Garamond"/>
          <w:i/>
          <w:iCs/>
          <w:color w:val="434343"/>
          <w:sz w:val="26"/>
          <w:szCs w:val="26"/>
        </w:rPr>
        <w:t xml:space="preserve">Web</w:t>
      </w:r>
      <w:r>
        <w:rPr>
          <w:rFonts w:ascii="Garamond" w:cs="Garamond" w:eastAsia="Garamond" w:hAnsi="Garamond"/>
          <w:b/>
          <w:bCs/>
          <w:i/>
          <w:iCs/>
          <w:color w:val="05427A"/>
          <w:sz w:val="26"/>
          <w:szCs w:val="26"/>
        </w:rPr>
        <w:t xml:space="preserve">Staffr</w:t>
      </w:r>
      <w:r>
        <w:rPr>
          <w:color w:val="666666"/>
          <w:sz w:val="24"/>
          <w:szCs w:val="24"/>
        </w:rPr>
        <w:t xml:space="preserve"> 💫</w:t>
      </w:r>
      <w:r>
        <w:rPr>
          <w:color w:val="666666"/>
          <w:sz w:val="24"/>
          <w:szCs w:val="24"/>
        </w:rPr>
        <w:t xml:space="preserve">  (WEBSTAFFR.COM)</w:t>
      </w:r>
    </w:p>
    <w:p>
      <w:pPr>
        <w:spacing w:after="200"/>
        <w:jc w:val="center"/>
      </w:pPr>
      <w:r>
        <w:rPr>
          <w:i/>
          <w:iCs/>
          <w:color w:val="666666"/>
        </w:rPr>
        <w:t xml:space="preserve">We run the office while contractors run the business.</w:t>
      </w:r>
    </w:p>
    <w:p>
      <w:pPr>
        <w:spacing w:after="200"/>
        <w:jc w:val="center"/>
      </w:pPr>
      <w:r>
        <w:rPr>
          <w:color w:val="666666"/>
        </w:rPr>
        <w:t xml:space="preserve">AI office staff for home-service businesses: the operating system for the trades.</w:t>
      </w:r>
    </w:p>
    <w:p>
      <w:pPr>
        <w:spacing w:after="200"/>
        <w:jc w:val="center"/>
      </w:pPr>
      <w:r>
        <w:rPr>
          <w:b/>
          <w:bCs/>
          <w:color w:val="666666"/>
        </w:rPr>
        <w:t xml:space="preserve">CONFIDENTIAL · Master Plan · Phoenix HVAC Beachhead · Consolidated 2026-07-13</w:t>
      </w:r>
    </w:p>
    <w:p>
      <w:pPr>
        <w:spacing w:after="200"/>
        <w:jc w:val="center"/>
      </w:pPr>
      <w:r>
        <w:rPr>
          <w:color w:val="666666"/>
        </w:rPr>
        <w:t xml:space="preserve">K. Michael Tortorich, MD, Founder &amp; CEO · with Patrick Bukowski (Operations) and Wenjie Tong (Product &amp; Engineering)</w:t>
      </w:r>
    </w:p>
    <w:p>
      <w:pPr>
        <w:spacing w:after="400"/>
        <w:jc w:val="center"/>
      </w:pPr>
      <w:r>
        <w:rPr>
          <w:i/>
          <w:iCs/>
          <w:color w:val="666666"/>
        </w:rPr>
        <w:t xml:space="preserve">For discussion purposes only. Forward projections are modeled estimates.</w:t>
      </w:r>
    </w:p>
    <w:p>
      <w:r>
        <w:br w:type="page"/>
      </w:r>
    </w:p>
    <w:p>
      <w:pPr>
        <w:pStyle w:val="Heading1"/>
        <w:spacing w:after="240" w:before="400"/>
      </w:pPr>
      <w:r>
        <w:rPr>
          <w:color w:val="666666"/>
        </w:rPr>
        <w:t xml:space="preserve">Executive Summary</w:t>
      </w:r>
    </w:p>
    <w:p>
      <w:pPr>
        <w:spacing w:after="200"/>
      </w:pPr>
      <w:r>
        <w:rPr>
          <w:b/>
          <w:bCs/>
          <w:color w:val="666666"/>
        </w:rPr>
        <w:t xml:space="preserve">We Don’t Sell Technology. We Recover Revenue.</w:t>
      </w:r>
    </w:p>
    <w:p>
      <w:pPr>
        <w:spacing w:after="200"/>
      </w:pP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builds a home-service contractor a complete website at no cost, then provides the recurring AI office staff that turns it into revenue: a 24/7 Receptionist that answers every call around the clock, a Lead Coordinator that follows up every lead in seconds, and a Reputation Manager that earns five-star reviews on autopilot. The website is customer acquisition. The recurring staff is the business.</w:t>
      </w:r>
    </w:p>
    <w:p>
      <w:pPr>
        <w:spacing w:after="200"/>
      </w:pPr>
      <w:r>
        <w:rPr>
          <w:b/>
          <w:bCs/>
          <w:color w:val="666666"/>
        </w:rPr>
        <w:t xml:space="preserve">The problem. </w:t>
      </w:r>
      <w:r>
        <w:rPr>
          <w:color w:val="666666"/>
        </w:rPr>
        <w:t xml:space="preserve">Contractors lose jobs they have already paid to generate, because no one can answer the phone from inside an attic. Roughly 27% of home-service calls go unanswered (Invoca, 2026); 85% of callers who reach voicemail never call back and instead dial a competitor (BIA/Kelsey); and 78% of homeowners hire whoever responds first (Lead Connect/MIT). A structural labor shortage (a projected 550,000-plumber shortfall by 2027, with roughly half of contractors unable to find staff) means the contractor cannot simply hire a receptionist. The software receptionist has stopped being optional, and AI made it possible only in the last eighteen months.</w:t>
      </w:r>
    </w:p>
    <w:p>
      <w:pPr>
        <w:spacing w:after="200"/>
      </w:pPr>
      <w:r>
        <w:rPr>
          <w:b/>
          <w:bCs/>
          <w:color w:val="666666"/>
        </w:rPr>
        <w:t xml:space="preserve">The market. </w:t>
      </w:r>
      <w:r>
        <w:rPr>
          <w:color w:val="666666"/>
        </w:rPr>
        <w:t xml:space="preserve">Approximately 2.5 million home-service businesses operate in the United States, a $14.6 billion total addressable market with a $2.9 billion digitally active serviceable segment. The trades carry the highest no-website rate of any category: 45 to 56%, roughly double the small-business average (b2bleadfinder, 2026). That is not a thin sliver of the market; it is half of it, self-selected into the precise pain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resolves.</w:t>
      </w:r>
    </w:p>
    <w:p>
      <w:pPr>
        <w:spacing w:after="200"/>
      </w:pPr>
      <w:r>
        <w:rPr>
          <w:b/>
          <w:bCs/>
          <w:color w:val="666666"/>
        </w:rPr>
        <w:t xml:space="preserve">What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b/>
          <w:bCs/>
          <w:color w:val="666666"/>
        </w:rPr>
        <w:t xml:space="preserve"> sells. </w:t>
      </w:r>
      <w:r>
        <w:rPr>
          <w:color w:val="666666"/>
        </w:rPr>
        <w:t xml:space="preserve">Not software: employees. Every capability is a hire on an org chart: a Service Advisor, a 24/7 Receptionist, a Lead Coordinator, a Reputation Manager, a Website Operations Manager. Pricing runs on outcomes, not features: Office Staff at $497 per month (the primary acquisition tier), Business Manager at $2,497 per month (an upgrade sold to existing Office Staff customers, adding a Sales Consultant, Marketing Coordinator, and Growth Manager), and White-Glove at $5,000-plus per month, custom, for multi-location operations. A human receptionist alone costs roughly $3,500 a month fully loaded; the entire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front office is $497. The AI is invisible by design: contractors hire dependable staff, not artificial intelligence.</w:t>
      </w:r>
    </w:p>
    <w:p>
      <w:pPr>
        <w:spacing w:after="200"/>
      </w:pPr>
      <w:r>
        <w:rPr>
          <w:b/>
          <w:bCs/>
          <w:color w:val="666666"/>
        </w:rPr>
        <w:t xml:space="preserve">Why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b/>
          <w:bCs/>
          <w:color w:val="666666"/>
        </w:rPr>
        <w:t xml:space="preserve"> wins. </w:t>
      </w:r>
      <w:r>
        <w:rPr>
          <w:color w:val="666666"/>
        </w:rPr>
        <w:t xml:space="preserve">The wedge is the Receptionist, the most acute, universal, quantifiable pain in the trade. The category is “AI office staff for home services,” a frame in which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has no direct competitor. The moat is delivery: a fully automated, AI-built product carries near-zero marginal cost, creating a self-funding growth loop that competitors built on human delivery cannot match. Every future hire becomes new recurring revenue, and a contractor who trusts the Receptionist learns to trust the rest of the office.</w:t>
      </w:r>
    </w:p>
    <w:p>
      <w:pPr>
        <w:spacing w:after="200"/>
      </w:pPr>
      <w:r>
        <w:rPr>
          <w:b/>
          <w:bCs/>
          <w:color w:val="666666"/>
        </w:rPr>
        <w:t xml:space="preserve">Financial snapshot. </w:t>
      </w:r>
      <w:r>
        <w:rPr>
          <w:color w:val="666666"/>
        </w:rPr>
        <w:t xml:space="preserve">The model is built to survive its own worst case. In the base case, the Phoenix HVAC beachhead is cash-positive by month three and closes Year One at approximately 44 customers, roughly $261,000 in ARR, and roughly $115,000 in cumulative cash, against $25,000 in starting capital and a $150 modeled CAC. Even the downside case, a 5% rather than 10% free-to-paid conversion rate, stays cash-positive provided organic CAC holds at $100 to $200. One trade in one metro generates enough gross profit to self-fund the next.</w:t>
      </w:r>
    </w:p>
    <w:p>
      <w:pPr>
        <w:spacing w:after="200"/>
      </w:pPr>
      <w:r>
        <w:rPr>
          <w:b/>
          <w:bCs/>
          <w:color w:val="666666"/>
        </w:rPr>
        <w:t xml:space="preserve">The ask.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is seeking $15,000 to $50,000 for AI tooling and timed marketing, structured for minimal dilution: a SAFE with a high valuation cap, or revenue-based financing once accounts are live, rather than a priced round.</w:t>
      </w:r>
    </w:p>
    <w:p>
      <w:pPr>
        <w:spacing w:after="200"/>
      </w:pPr>
      <w:r>
        <w:rPr>
          <w:b/>
          <w:bCs/>
          <w:color w:val="666666"/>
        </w:rPr>
        <w:t xml:space="preserve">The team. </w:t>
      </w:r>
      <w:r>
        <w:rPr>
          <w:color w:val="666666"/>
        </w:rPr>
        <w:t xml:space="preserve">K. Michael Tortorich, MD, is founder and CEO, and sets vision, go-to-market direction, and operational priority. Patrick Bukowski contributes operations and client success as needed. Wenjie Tong contributes product architecture, the automated build-and-delivery engine, and the AI technology stack as needed.</w:t>
      </w:r>
    </w:p>
    <w:p>
      <w:pPr>
        <w:spacing w:after="200"/>
      </w:pPr>
      <w:r>
        <w:rPr>
          <w:b/>
          <w:bCs/>
          <w:color w:val="666666"/>
        </w:rPr>
        <w:t xml:space="preserve">The vision. </w:t>
      </w:r>
      <w:r>
        <w:rPr>
          <w:color w:val="666666"/>
        </w:rPr>
        <w:t xml:space="preserve">Not to be the largest website agency, but to become the operating system that runs the office functions of home-service businesses across North America: one trade, one metro, one proven playbook at a time, until a contractor’s honest answer is: </w:t>
      </w:r>
      <w:r>
        <w:rPr>
          <w:i/>
          <w:iCs/>
          <w:color w:val="666666"/>
        </w:rPr>
        <w:t xml:space="preserve">“I don’t think about my office.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i/>
          <w:iCs/>
          <w:color w:val="666666"/>
        </w:rPr>
        <w:t xml:space="preserve"> runs it. I just go do the work.”</w:t>
      </w:r>
    </w:p>
    <w:p>
      <w:pPr>
        <w:pStyle w:val="Heading1"/>
        <w:spacing w:after="240" w:before="400"/>
      </w:pPr>
      <w:r>
        <w:rPr>
          <w:color w:val="666666"/>
        </w:rPr>
        <w:t xml:space="preserve">The Opportunity</w:t>
      </w:r>
    </w:p>
    <w:p>
      <w:pPr>
        <w:spacing w:after="200"/>
      </w:pPr>
      <w:r>
        <w:rPr>
          <w:b/>
          <w:bCs/>
          <w:color w:val="666666"/>
        </w:rPr>
        <w:t xml:space="preserve">A market measured the right way. </w:t>
      </w:r>
      <w:r>
        <w:rPr>
          <w:color w:val="666666"/>
        </w:rPr>
        <w:t xml:space="preserve">Published estimates of the U.S. home-services market range from roughly $97 billion to $1.4 trillion depending entirely on definition, a spread wide enough to make any single figure meaningless to a sophisticated reader.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therefore anchors its opportunity not on the size of the </w:t>
      </w:r>
      <w:r>
        <w:rPr>
          <w:i/>
          <w:iCs/>
          <w:color w:val="666666"/>
        </w:rPr>
        <w:t xml:space="preserve">services</w:t>
      </w:r>
      <w:r>
        <w:rPr>
          <w:color w:val="666666"/>
        </w:rPr>
        <w:t xml:space="preserve"> market but on the count of buyable businesses, because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sells operations to the business, not services to the homeowner.</w:t>
      </w:r>
    </w:p>
    <w:p>
      <w:pPr>
        <w:spacing w:after="200"/>
      </w:pPr>
      <w:r>
        <w:rPr>
          <w:color w:val="666666"/>
        </w:rPr>
        <w:t xml:space="preserve">That denominator is approximately 2.5 million home-service businesses in the United States, employing some 6.1 million professionals and growing (Valve+Meter). The trades carry the highest no-website rate of any business category: 45 to 56%, against 15 to 25% for professional services and a 27% small-business average (b2bleadfinder, 2026).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’s target segment has roughly double the no-website density of the broader economy.</w:t>
      </w:r>
    </w:p>
    <w:p>
      <w:pPr>
        <w:spacing w:after="200"/>
      </w:pPr>
      <w:r>
        <w:rPr>
          <w:b/>
          <w:bCs/>
          <w:color w:val="666666"/>
        </w:rPr>
        <w:t xml:space="preserve">What the market already spends. </w:t>
      </w:r>
      <w:r>
        <w:rPr>
          <w:color w:val="666666"/>
        </w:rPr>
        <w:t xml:space="preserve">A typical small contractor already pays $300 to $500 per month for operational software: field-service tools, a marketing layer, add-ons.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’s pricing sits inside that accepted spend rather than asking the market to create a new budget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2960"/>
      </w:tblGrid>
      <w:tr>
        <w:trPr>
          <w:tblHeader/>
        </w:trPr>
        <w:tc>
          <w:tcPr>
            <w:tcW w:type="dxa" w:w="3200"/>
            <w:shd w:fill="D9D9D9" w:color="auto" w:val="clear"/>
            <w:tcMar>
              <w:top w:type="dxa" w:w="80"/>
              <w:left w:type="dxa" w:w="100"/>
              <w:bottom w:type="dxa" w:w="80"/>
              <w:right w:type="dxa" w:w="100"/>
            </w:tcMar>
            <w:vAlign w:val="center"/>
          </w:tcPr>
          <w:p>
            <w:r>
              <w:rPr>
                <w:b/>
                <w:bCs/>
                <w:color w:val="666666"/>
                <w:sz w:val="20"/>
                <w:szCs w:val="20"/>
              </w:rPr>
              <w:t xml:space="preserve">Platform</w:t>
            </w:r>
          </w:p>
        </w:tc>
        <w:tc>
          <w:tcPr>
            <w:tcW w:type="dxa" w:w="3200"/>
            <w:shd w:fill="D9D9D9" w:color="auto" w:val="clear"/>
            <w:tcMar>
              <w:top w:type="dxa" w:w="80"/>
              <w:left w:type="dxa" w:w="100"/>
              <w:bottom w:type="dxa" w:w="80"/>
              <w:right w:type="dxa" w:w="100"/>
            </w:tcMar>
            <w:vAlign w:val="center"/>
          </w:tcPr>
          <w:p>
            <w:r>
              <w:rPr>
                <w:b/>
                <w:bCs/>
                <w:color w:val="666666"/>
                <w:sz w:val="20"/>
                <w:szCs w:val="20"/>
              </w:rPr>
              <w:t xml:space="preserve">Category</w:t>
            </w:r>
          </w:p>
        </w:tc>
        <w:tc>
          <w:tcPr>
            <w:tcW w:type="dxa" w:w="2960"/>
            <w:shd w:fill="D9D9D9" w:color="auto" w:val="clear"/>
            <w:tcMar>
              <w:top w:type="dxa" w:w="80"/>
              <w:left w:type="dxa" w:w="100"/>
              <w:bottom w:type="dxa" w:w="80"/>
              <w:right w:type="dxa" w:w="100"/>
            </w:tcMar>
            <w:vAlign w:val="center"/>
          </w:tcPr>
          <w:p>
            <w:r>
              <w:rPr>
                <w:b/>
                <w:bCs/>
                <w:color w:val="666666"/>
                <w:sz w:val="20"/>
                <w:szCs w:val="20"/>
              </w:rPr>
              <w:t xml:space="preserve">Monthly cost (small shop)</w:t>
            </w:r>
          </w:p>
        </w:tc>
      </w:tr>
      <w:tr>
        <w:tc>
          <w:tcPr>
            <w:tcW w:type="dxa" w:w="3200"/>
            <w:tcMar>
              <w:top w:type="dxa" w:w="80"/>
              <w:left w:type="dxa" w:w="100"/>
              <w:bottom w:type="dxa" w:w="80"/>
              <w:right w:type="dxa" w:w="100"/>
            </w:tcMar>
            <w:vAlign w:val="center"/>
          </w:tcPr>
          <w:p>
            <w:r>
              <w:rPr>
                <w:b w:val="false"/>
                <w:bCs w:val="false"/>
                <w:color w:val="666666"/>
                <w:sz w:val="20"/>
                <w:szCs w:val="20"/>
              </w:rPr>
              <w:t xml:space="preserve">Jobber</w:t>
            </w:r>
          </w:p>
        </w:tc>
        <w:tc>
          <w:tcPr>
            <w:tcW w:type="dxa" w:w="3200"/>
            <w:tcMar>
              <w:top w:type="dxa" w:w="80"/>
              <w:left w:type="dxa" w:w="100"/>
              <w:bottom w:type="dxa" w:w="80"/>
              <w:right w:type="dxa" w:w="100"/>
            </w:tcMar>
            <w:vAlign w:val="center"/>
          </w:tcPr>
          <w:p>
            <w:r>
              <w:rPr>
                <w:b w:val="false"/>
                <w:bCs w:val="false"/>
                <w:color w:val="666666"/>
                <w:sz w:val="20"/>
                <w:szCs w:val="20"/>
              </w:rPr>
              <w:t xml:space="preserve">Field service management</w:t>
            </w:r>
          </w:p>
        </w:tc>
        <w:tc>
          <w:tcPr>
            <w:tcW w:type="dxa" w:w="2960"/>
            <w:tcMar>
              <w:top w:type="dxa" w:w="80"/>
              <w:left w:type="dxa" w:w="100"/>
              <w:bottom w:type="dxa" w:w="80"/>
              <w:right w:type="dxa" w:w="100"/>
            </w:tcMar>
            <w:vAlign w:val="center"/>
          </w:tcPr>
          <w:p>
            <w:r>
              <w:rPr>
                <w:b w:val="false"/>
                <w:bCs w:val="false"/>
                <w:color w:val="666666"/>
                <w:sz w:val="20"/>
                <w:szCs w:val="20"/>
              </w:rPr>
              <w:t xml:space="preserve">$39 → $129 → $249</w:t>
            </w:r>
          </w:p>
        </w:tc>
      </w:tr>
      <w:tr>
        <w:tc>
          <w:tcPr>
            <w:tcW w:type="dxa" w:w="3200"/>
            <w:tcMar>
              <w:top w:type="dxa" w:w="80"/>
              <w:left w:type="dxa" w:w="100"/>
              <w:bottom w:type="dxa" w:w="80"/>
              <w:right w:type="dxa" w:w="100"/>
            </w:tcMar>
            <w:vAlign w:val="center"/>
          </w:tcPr>
          <w:p>
            <w:r>
              <w:rPr>
                <w:b w:val="false"/>
                <w:bCs w:val="false"/>
                <w:color w:val="666666"/>
                <w:sz w:val="20"/>
                <w:szCs w:val="20"/>
              </w:rPr>
              <w:t xml:space="preserve">Housecall Pro</w:t>
            </w:r>
          </w:p>
        </w:tc>
        <w:tc>
          <w:tcPr>
            <w:tcW w:type="dxa" w:w="3200"/>
            <w:tcMar>
              <w:top w:type="dxa" w:w="80"/>
              <w:left w:type="dxa" w:w="100"/>
              <w:bottom w:type="dxa" w:w="80"/>
              <w:right w:type="dxa" w:w="100"/>
            </w:tcMar>
            <w:vAlign w:val="center"/>
          </w:tcPr>
          <w:p>
            <w:r>
              <w:rPr>
                <w:b w:val="false"/>
                <w:bCs w:val="false"/>
                <w:color w:val="666666"/>
                <w:sz w:val="20"/>
                <w:szCs w:val="20"/>
              </w:rPr>
              <w:t xml:space="preserve">Field service management</w:t>
            </w:r>
          </w:p>
        </w:tc>
        <w:tc>
          <w:tcPr>
            <w:tcW w:type="dxa" w:w="2960"/>
            <w:tcMar>
              <w:top w:type="dxa" w:w="80"/>
              <w:left w:type="dxa" w:w="100"/>
              <w:bottom w:type="dxa" w:w="80"/>
              <w:right w:type="dxa" w:w="100"/>
            </w:tcMar>
            <w:vAlign w:val="center"/>
          </w:tcPr>
          <w:p>
            <w:r>
              <w:rPr>
                <w:b w:val="false"/>
                <w:bCs w:val="false"/>
                <w:color w:val="666666"/>
                <w:sz w:val="20"/>
                <w:szCs w:val="20"/>
              </w:rPr>
              <w:t xml:space="preserve">$59 → $149 → $299+</w:t>
            </w:r>
          </w:p>
        </w:tc>
      </w:tr>
      <w:tr>
        <w:tc>
          <w:tcPr>
            <w:tcW w:type="dxa" w:w="3200"/>
            <w:tcMar>
              <w:top w:type="dxa" w:w="80"/>
              <w:left w:type="dxa" w:w="100"/>
              <w:bottom w:type="dxa" w:w="80"/>
              <w:right w:type="dxa" w:w="100"/>
            </w:tcMar>
            <w:vAlign w:val="center"/>
          </w:tcPr>
          <w:p>
            <w:r>
              <w:rPr>
                <w:b w:val="false"/>
                <w:bCs w:val="false"/>
                <w:color w:val="666666"/>
                <w:sz w:val="20"/>
                <w:szCs w:val="20"/>
              </w:rPr>
              <w:t xml:space="preserve">ServiceTitan</w:t>
            </w:r>
          </w:p>
        </w:tc>
        <w:tc>
          <w:tcPr>
            <w:tcW w:type="dxa" w:w="3200"/>
            <w:tcMar>
              <w:top w:type="dxa" w:w="80"/>
              <w:left w:type="dxa" w:w="100"/>
              <w:bottom w:type="dxa" w:w="80"/>
              <w:right w:type="dxa" w:w="100"/>
            </w:tcMar>
            <w:vAlign w:val="center"/>
          </w:tcPr>
          <w:p>
            <w:r>
              <w:rPr>
                <w:b w:val="false"/>
                <w:bCs w:val="false"/>
                <w:color w:val="666666"/>
                <w:sz w:val="20"/>
                <w:szCs w:val="20"/>
              </w:rPr>
              <w:t xml:space="preserve">Enterprise field service</w:t>
            </w:r>
          </w:p>
        </w:tc>
        <w:tc>
          <w:tcPr>
            <w:tcW w:type="dxa" w:w="2960"/>
            <w:tcMar>
              <w:top w:type="dxa" w:w="80"/>
              <w:left w:type="dxa" w:w="100"/>
              <w:bottom w:type="dxa" w:w="80"/>
              <w:right w:type="dxa" w:w="100"/>
            </w:tcMar>
            <w:vAlign w:val="center"/>
          </w:tcPr>
          <w:p>
            <w:r>
              <w:rPr>
                <w:b w:val="false"/>
                <w:bCs w:val="false"/>
                <w:color w:val="666666"/>
                <w:sz w:val="20"/>
                <w:szCs w:val="20"/>
              </w:rPr>
              <w:t xml:space="preserve">$1,225 → $2,000 + setup</w:t>
            </w:r>
          </w:p>
        </w:tc>
      </w:tr>
      <w:tr>
        <w:tc>
          <w:tcPr>
            <w:tcW w:type="dxa" w:w="3200"/>
            <w:tcMar>
              <w:top w:type="dxa" w:w="80"/>
              <w:left w:type="dxa" w:w="100"/>
              <w:bottom w:type="dxa" w:w="80"/>
              <w:right w:type="dxa" w:w="100"/>
            </w:tcMar>
            <w:vAlign w:val="center"/>
          </w:tcPr>
          <w:p>
            <w:r>
              <w:rPr>
                <w:b w:val="false"/>
                <w:bCs w:val="false"/>
                <w:color w:val="666666"/>
                <w:sz w:val="20"/>
                <w:szCs w:val="20"/>
              </w:rPr>
              <w:t xml:space="preserve">GoHighLevel</w:t>
            </w:r>
          </w:p>
        </w:tc>
        <w:tc>
          <w:tcPr>
            <w:tcW w:type="dxa" w:w="3200"/>
            <w:tcMar>
              <w:top w:type="dxa" w:w="80"/>
              <w:left w:type="dxa" w:w="100"/>
              <w:bottom w:type="dxa" w:w="80"/>
              <w:right w:type="dxa" w:w="100"/>
            </w:tcMar>
            <w:vAlign w:val="center"/>
          </w:tcPr>
          <w:p>
            <w:r>
              <w:rPr>
                <w:b w:val="false"/>
                <w:bCs w:val="false"/>
                <w:color w:val="666666"/>
                <w:sz w:val="20"/>
                <w:szCs w:val="20"/>
              </w:rPr>
              <w:t xml:space="preserve">CRM / marketing automation</w:t>
            </w:r>
          </w:p>
        </w:tc>
        <w:tc>
          <w:tcPr>
            <w:tcW w:type="dxa" w:w="2960"/>
            <w:tcMar>
              <w:top w:type="dxa" w:w="80"/>
              <w:left w:type="dxa" w:w="100"/>
              <w:bottom w:type="dxa" w:w="80"/>
              <w:right w:type="dxa" w:w="100"/>
            </w:tcMar>
            <w:vAlign w:val="center"/>
          </w:tcPr>
          <w:p>
            <w:r>
              <w:rPr>
                <w:b w:val="false"/>
                <w:bCs w:val="false"/>
                <w:color w:val="666666"/>
                <w:sz w:val="20"/>
                <w:szCs w:val="20"/>
              </w:rPr>
              <w:t xml:space="preserve">$112 → $140</w:t>
            </w:r>
          </w:p>
        </w:tc>
      </w:tr>
    </w:tbl>
    <w:p>
      <w:pPr>
        <w:spacing w:after="200" w:before="160"/>
      </w:pPr>
      <w:r>
        <w:rPr>
          <w:i/>
          <w:iCs/>
          <w:color w:val="666666"/>
        </w:rPr>
        <w:t xml:space="preserve">Source: rivetops.io, ustechautomations.com, korekomfortsolutions.com (2026).</w:t>
      </w:r>
    </w:p>
    <w:p>
      <w:pPr>
        <w:spacing w:after="200"/>
      </w:pPr>
      <w:r>
        <w:rPr>
          <w:b/>
          <w:bCs/>
          <w:color w:val="666666"/>
        </w:rPr>
        <w:t xml:space="preserve">Why now. </w:t>
      </w:r>
      <w:r>
        <w:rPr>
          <w:color w:val="666666"/>
        </w:rPr>
        <w:t xml:space="preserve">Three forces converge. First, a structural labor shortage (roughly 550,000 fewer plumbers than needed by 2027, nearly a third of electricians near retirement, and about half of contractors unable to hire) makes a software workforce a necessity, not a luxury. Second, homeowners now expect instant digital intake; online booking and immediate response have become table stakes rather than differentiators. Third, AI front-office tooling crossed from frontier to viable only in the last eighteen months. The window is open now.</w:t>
      </w:r>
    </w:p>
    <w:p>
      <w:pPr>
        <w:spacing w:after="200"/>
      </w:pPr>
      <w:r>
        <w:rPr>
          <w:b/>
          <w:bCs/>
          <w:color w:val="666666"/>
        </w:rPr>
        <w:t xml:space="preserve">The serviceable opportunity. </w:t>
      </w:r>
      <w:r>
        <w:rPr>
          <w:color w:val="666666"/>
        </w:rPr>
        <w:t xml:space="preserve">Treating the no-website trades as the core serviceable market and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’s blended annual contract value of roughly $5,800, the serviceable opportunity is measured in the billions.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does not need a large share of it; it needs to dominate one trade in one metro, prove the playbook, and replicate. </w:t>
      </w:r>
      <w:r>
        <w:rPr>
          <w:i/>
          <w:iCs/>
          <w:color w:val="666666"/>
        </w:rPr>
        <w:t xml:space="preserve">(Sources: Valve+Meter, b2bleadfinder, Expert Market Research, Mordor Intelligence, Research &amp; Markets, 2026.)</w:t>
      </w:r>
    </w:p>
    <w:p>
      <w:pPr>
        <w:pStyle w:val="Heading1"/>
        <w:spacing w:after="240" w:before="400"/>
      </w:pPr>
      <w:r>
        <w:rPr>
          <w:color w:val="666666"/>
        </w:rPr>
        <w:t xml:space="preserve">Competitive Landscape</w:t>
      </w:r>
    </w:p>
    <w:p>
      <w:pPr>
        <w:spacing w:after="200"/>
      </w:pP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does not compete where most observers expect. Field-service platforms (Jobber, Housecall Pro, ServiceTitan) manage scheduling, dispatch, and invoicing after a job is booked.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operates before the technician arrives and after the job ends: answering the call, capturing the lead, earning the review, running the site. Multiple 2026 industry analyses independently identify that exact window, call intake and follow-up, as where contractors lose the most revenue.</w:t>
      </w:r>
    </w:p>
    <w:p>
      <w:pPr>
        <w:spacing w:after="200"/>
      </w:pPr>
      <w:r>
        <w:rPr>
          <w:color w:val="666666"/>
        </w:rPr>
        <w:t xml:space="preserve">The strategic consequence: the field-service platforms are not competitors; they are adjacent, and most naturally integration partners.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’s posture is “Keep your field-service tool. We make sure the calls it never captured turn into booked jobs.” This lowers switching friction and sidesteps a fight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has no need to pick. The closest true analog is GoHighLevel, a CRM-and-marketing platform, but GoHighLevel sells tools, while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sells staff.</w:t>
      </w:r>
    </w:p>
    <w:p>
      <w:pPr>
        <w:spacing w:after="200"/>
      </w:pPr>
      <w:r>
        <w:rPr>
          <w:color w:val="666666"/>
        </w:rPr>
        <w:t xml:space="preserve">That distinction is the heart of the strategy. A contractor comparing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to a scheduling app is making a category error, and that is precisely the frame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intends to own, because in the category it defines, it has no direct competitor.</w:t>
      </w:r>
    </w:p>
    <w:p>
      <w:pPr>
        <w:spacing w:after="200"/>
      </w:pPr>
      <w:r>
        <w:rPr>
          <w:color w:val="666666"/>
        </w:rPr>
        <w:t xml:space="preserve">The defensibility of category creation rests on a delivery moat: a done-for-you build, deep integration, and the “hire an employee, not AI” framing. Incumbents are moving toward AI front-office features, which validates the demand and underscores the urgency of establishing the category and the brand first.</w:t>
      </w:r>
    </w:p>
    <w:p>
      <w:pPr>
        <w:pStyle w:val="Heading1"/>
        <w:spacing w:after="240" w:before="400"/>
      </w:pPr>
      <w:r>
        <w:rPr>
          <w:color w:val="666666"/>
        </w:rPr>
        <w:t xml:space="preserve">Beachhead: Phoenix HVAC</w:t>
      </w:r>
    </w:p>
    <w:p>
      <w:pPr>
        <w:spacing w:after="200"/>
      </w:pPr>
      <w:r>
        <w:rPr>
          <w:color w:val="666666"/>
        </w:rPr>
        <w:t xml:space="preserve">A beachhead’s job is not to be large; it is to be winnable.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evaluated three candidate trade-and-metro combinations against the factors that determine whether a cold, automated, receptionist-led model succeeds.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2200"/>
        <w:gridCol w:w="2200"/>
        <w:gridCol w:w="2200"/>
      </w:tblGrid>
      <w:tr>
        <w:trPr>
          <w:tblHeader/>
        </w:trPr>
        <w:tc>
          <w:tcPr>
            <w:tcW w:type="dxa" w:w="2760"/>
            <w:shd w:fill="D9D9D9" w:color="auto" w:val="clear"/>
            <w:tcMar>
              <w:top w:type="dxa" w:w="80"/>
              <w:left w:type="dxa" w:w="100"/>
              <w:bottom w:type="dxa" w:w="80"/>
              <w:right w:type="dxa" w:w="100"/>
            </w:tcMar>
            <w:vAlign w:val="center"/>
          </w:tcPr>
          <w:p>
            <w:r>
              <w:rPr>
                <w:b/>
                <w:bCs/>
                <w:color w:val="666666"/>
                <w:sz w:val="20"/>
                <w:szCs w:val="20"/>
              </w:rPr>
              <w:t xml:space="preserve">Criterion</w:t>
            </w:r>
          </w:p>
        </w:tc>
        <w:tc>
          <w:tcPr>
            <w:tcW w:type="dxa" w:w="2200"/>
            <w:shd w:fill="D9D9D9" w:color="auto" w:val="clear"/>
            <w:tcMar>
              <w:top w:type="dxa" w:w="80"/>
              <w:left w:type="dxa" w:w="100"/>
              <w:bottom w:type="dxa" w:w="80"/>
              <w:right w:type="dxa" w:w="100"/>
            </w:tcMar>
            <w:vAlign w:val="center"/>
          </w:tcPr>
          <w:p>
            <w:r>
              <w:rPr>
                <w:b/>
                <w:bCs/>
                <w:color w:val="666666"/>
                <w:sz w:val="20"/>
                <w:szCs w:val="20"/>
              </w:rPr>
              <w:t xml:space="preserve">DFW Roofing</w:t>
            </w:r>
          </w:p>
        </w:tc>
        <w:tc>
          <w:tcPr>
            <w:tcW w:type="dxa" w:w="2200"/>
            <w:shd w:fill="D9D9D9" w:color="auto" w:val="clear"/>
            <w:tcMar>
              <w:top w:type="dxa" w:w="80"/>
              <w:left w:type="dxa" w:w="100"/>
              <w:bottom w:type="dxa" w:w="80"/>
              <w:right w:type="dxa" w:w="100"/>
            </w:tcMar>
            <w:vAlign w:val="center"/>
          </w:tcPr>
          <w:p>
            <w:r>
              <w:rPr>
                <w:b/>
                <w:bCs/>
                <w:color w:val="666666"/>
                <w:sz w:val="20"/>
                <w:szCs w:val="20"/>
              </w:rPr>
              <w:t xml:space="preserve">Phoenix HVAC</w:t>
            </w:r>
          </w:p>
        </w:tc>
        <w:tc>
          <w:tcPr>
            <w:tcW w:type="dxa" w:w="2200"/>
            <w:shd w:fill="D9D9D9" w:color="auto" w:val="clear"/>
            <w:tcMar>
              <w:top w:type="dxa" w:w="80"/>
              <w:left w:type="dxa" w:w="100"/>
              <w:bottom w:type="dxa" w:w="80"/>
              <w:right w:type="dxa" w:w="100"/>
            </w:tcMar>
            <w:vAlign w:val="center"/>
          </w:tcPr>
          <w:p>
            <w:r>
              <w:rPr>
                <w:b/>
                <w:bCs/>
                <w:color w:val="666666"/>
                <w:sz w:val="20"/>
                <w:szCs w:val="20"/>
              </w:rPr>
              <w:t xml:space="preserve">Tampa Plumbing</w:t>
            </w:r>
          </w:p>
        </w:tc>
      </w:tr>
      <w:tr>
        <w:tc>
          <w:tcPr>
            <w:tcW w:type="dxa" w:w="2760"/>
            <w:tcMar>
              <w:top w:type="dxa" w:w="80"/>
              <w:left w:type="dxa" w:w="100"/>
              <w:bottom w:type="dxa" w:w="80"/>
              <w:right w:type="dxa" w:w="100"/>
            </w:tcMar>
            <w:vAlign w:val="center"/>
          </w:tcPr>
          <w:p>
            <w:r>
              <w:rPr>
                <w:b w:val="false"/>
                <w:bCs w:val="false"/>
                <w:color w:val="666666"/>
                <w:sz w:val="20"/>
                <w:szCs w:val="20"/>
              </w:rPr>
              <w:t xml:space="preserve">“Missed call = lost job” pain</w:t>
            </w:r>
          </w:p>
        </w:tc>
        <w:tc>
          <w:tcPr>
            <w:tcW w:type="dxa" w:w="2200"/>
            <w:tcMar>
              <w:top w:type="dxa" w:w="80"/>
              <w:left w:type="dxa" w:w="100"/>
              <w:bottom w:type="dxa" w:w="80"/>
              <w:right w:type="dxa" w:w="100"/>
            </w:tcMar>
            <w:vAlign w:val="center"/>
          </w:tcPr>
          <w:p>
            <w:r>
              <w:rPr>
                <w:b w:val="false"/>
                <w:bCs w:val="false"/>
                <w:color w:val="666666"/>
                <w:sz w:val="20"/>
                <w:szCs w:val="20"/>
              </w:rPr>
              <w:t xml:space="preserve">Low</w:t>
            </w:r>
          </w:p>
        </w:tc>
        <w:tc>
          <w:tcPr>
            <w:tcW w:type="dxa" w:w="2200"/>
            <w:tcMar>
              <w:top w:type="dxa" w:w="80"/>
              <w:left w:type="dxa" w:w="100"/>
              <w:bottom w:type="dxa" w:w="80"/>
              <w:right w:type="dxa" w:w="100"/>
            </w:tcMar>
            <w:vAlign w:val="center"/>
          </w:tcPr>
          <w:p>
            <w:r>
              <w:rPr>
                <w:b w:val="false"/>
                <w:bCs w:val="false"/>
                <w:color w:val="666666"/>
                <w:sz w:val="20"/>
                <w:szCs w:val="20"/>
              </w:rPr>
              <w:t xml:space="preserve">High</w:t>
            </w:r>
          </w:p>
        </w:tc>
        <w:tc>
          <w:tcPr>
            <w:tcW w:type="dxa" w:w="2200"/>
            <w:tcMar>
              <w:top w:type="dxa" w:w="80"/>
              <w:left w:type="dxa" w:w="100"/>
              <w:bottom w:type="dxa" w:w="80"/>
              <w:right w:type="dxa" w:w="100"/>
            </w:tcMar>
            <w:vAlign w:val="center"/>
          </w:tcPr>
          <w:p>
            <w:r>
              <w:rPr>
                <w:b w:val="false"/>
                <w:bCs w:val="false"/>
                <w:color w:val="666666"/>
                <w:sz w:val="20"/>
                <w:szCs w:val="20"/>
              </w:rPr>
              <w:t xml:space="preserve">High</w:t>
            </w:r>
          </w:p>
        </w:tc>
      </w:tr>
      <w:tr>
        <w:tc>
          <w:tcPr>
            <w:tcW w:type="dxa" w:w="2760"/>
            <w:tcMar>
              <w:top w:type="dxa" w:w="80"/>
              <w:left w:type="dxa" w:w="100"/>
              <w:bottom w:type="dxa" w:w="80"/>
              <w:right w:type="dxa" w:w="100"/>
            </w:tcMar>
            <w:vAlign w:val="center"/>
          </w:tcPr>
          <w:p>
            <w:r>
              <w:rPr>
                <w:b w:val="false"/>
                <w:bCs w:val="false"/>
                <w:color w:val="666666"/>
                <w:sz w:val="20"/>
                <w:szCs w:val="20"/>
              </w:rPr>
              <w:t xml:space="preserve">No-website density</w:t>
            </w:r>
          </w:p>
        </w:tc>
        <w:tc>
          <w:tcPr>
            <w:tcW w:type="dxa" w:w="2200"/>
            <w:tcMar>
              <w:top w:type="dxa" w:w="80"/>
              <w:left w:type="dxa" w:w="100"/>
              <w:bottom w:type="dxa" w:w="80"/>
              <w:right w:type="dxa" w:w="100"/>
            </w:tcMar>
            <w:vAlign w:val="center"/>
          </w:tcPr>
          <w:p>
            <w:r>
              <w:rPr>
                <w:b w:val="false"/>
                <w:bCs w:val="false"/>
                <w:color w:val="666666"/>
                <w:sz w:val="20"/>
                <w:szCs w:val="20"/>
              </w:rPr>
              <w:t xml:space="preserve">Medium</w:t>
            </w:r>
          </w:p>
        </w:tc>
        <w:tc>
          <w:tcPr>
            <w:tcW w:type="dxa" w:w="2200"/>
            <w:tcMar>
              <w:top w:type="dxa" w:w="80"/>
              <w:left w:type="dxa" w:w="100"/>
              <w:bottom w:type="dxa" w:w="80"/>
              <w:right w:type="dxa" w:w="100"/>
            </w:tcMar>
            <w:vAlign w:val="center"/>
          </w:tcPr>
          <w:p>
            <w:r>
              <w:rPr>
                <w:b w:val="false"/>
                <w:bCs w:val="false"/>
                <w:color w:val="666666"/>
                <w:sz w:val="20"/>
                <w:szCs w:val="20"/>
              </w:rPr>
              <w:t xml:space="preserve">Medium-High</w:t>
            </w:r>
          </w:p>
        </w:tc>
        <w:tc>
          <w:tcPr>
            <w:tcW w:type="dxa" w:w="2200"/>
            <w:tcMar>
              <w:top w:type="dxa" w:w="80"/>
              <w:left w:type="dxa" w:w="100"/>
              <w:bottom w:type="dxa" w:w="80"/>
              <w:right w:type="dxa" w:w="100"/>
            </w:tcMar>
            <w:vAlign w:val="center"/>
          </w:tcPr>
          <w:p>
            <w:r>
              <w:rPr>
                <w:b w:val="false"/>
                <w:bCs w:val="false"/>
                <w:color w:val="666666"/>
                <w:sz w:val="20"/>
                <w:szCs w:val="20"/>
              </w:rPr>
              <w:t xml:space="preserve">High</w:t>
            </w:r>
          </w:p>
        </w:tc>
      </w:tr>
      <w:tr>
        <w:tc>
          <w:tcPr>
            <w:tcW w:type="dxa" w:w="2760"/>
            <w:tcMar>
              <w:top w:type="dxa" w:w="80"/>
              <w:left w:type="dxa" w:w="100"/>
              <w:bottom w:type="dxa" w:w="80"/>
              <w:right w:type="dxa" w:w="100"/>
            </w:tcMar>
            <w:vAlign w:val="center"/>
          </w:tcPr>
          <w:p>
            <w:r>
              <w:rPr>
                <w:b w:val="false"/>
                <w:bCs w:val="false"/>
                <w:color w:val="666666"/>
                <w:sz w:val="20"/>
                <w:szCs w:val="20"/>
              </w:rPr>
              <w:t xml:space="preserve">Ability to pay $497/mo</w:t>
            </w:r>
          </w:p>
        </w:tc>
        <w:tc>
          <w:tcPr>
            <w:tcW w:type="dxa" w:w="2200"/>
            <w:tcMar>
              <w:top w:type="dxa" w:w="80"/>
              <w:left w:type="dxa" w:w="100"/>
              <w:bottom w:type="dxa" w:w="80"/>
              <w:right w:type="dxa" w:w="100"/>
            </w:tcMar>
            <w:vAlign w:val="center"/>
          </w:tcPr>
          <w:p>
            <w:r>
              <w:rPr>
                <w:b w:val="false"/>
                <w:bCs w:val="false"/>
                <w:color w:val="666666"/>
                <w:sz w:val="20"/>
                <w:szCs w:val="20"/>
              </w:rPr>
              <w:t xml:space="preserve">High</w:t>
            </w:r>
          </w:p>
        </w:tc>
        <w:tc>
          <w:tcPr>
            <w:tcW w:type="dxa" w:w="2200"/>
            <w:tcMar>
              <w:top w:type="dxa" w:w="80"/>
              <w:left w:type="dxa" w:w="100"/>
              <w:bottom w:type="dxa" w:w="80"/>
              <w:right w:type="dxa" w:w="100"/>
            </w:tcMar>
            <w:vAlign w:val="center"/>
          </w:tcPr>
          <w:p>
            <w:r>
              <w:rPr>
                <w:b w:val="false"/>
                <w:bCs w:val="false"/>
                <w:color w:val="666666"/>
                <w:sz w:val="20"/>
                <w:szCs w:val="20"/>
              </w:rPr>
              <w:t xml:space="preserve">High</w:t>
            </w:r>
          </w:p>
        </w:tc>
        <w:tc>
          <w:tcPr>
            <w:tcW w:type="dxa" w:w="2200"/>
            <w:tcMar>
              <w:top w:type="dxa" w:w="80"/>
              <w:left w:type="dxa" w:w="100"/>
              <w:bottom w:type="dxa" w:w="80"/>
              <w:right w:type="dxa" w:w="100"/>
            </w:tcMar>
            <w:vAlign w:val="center"/>
          </w:tcPr>
          <w:p>
            <w:r>
              <w:rPr>
                <w:b w:val="false"/>
                <w:bCs w:val="false"/>
                <w:color w:val="666666"/>
                <w:sz w:val="20"/>
                <w:szCs w:val="20"/>
              </w:rPr>
              <w:t xml:space="preserve">Medium</w:t>
            </w:r>
          </w:p>
        </w:tc>
      </w:tr>
      <w:tr>
        <w:tc>
          <w:tcPr>
            <w:tcW w:type="dxa" w:w="2760"/>
            <w:tcMar>
              <w:top w:type="dxa" w:w="80"/>
              <w:left w:type="dxa" w:w="100"/>
              <w:bottom w:type="dxa" w:w="80"/>
              <w:right w:type="dxa" w:w="100"/>
            </w:tcMar>
            <w:vAlign w:val="center"/>
          </w:tcPr>
          <w:p>
            <w:r>
              <w:rPr>
                <w:b w:val="false"/>
                <w:bCs w:val="false"/>
                <w:color w:val="666666"/>
                <w:sz w:val="20"/>
                <w:szCs w:val="20"/>
              </w:rPr>
              <w:t xml:space="preserve">Ease of standing out</w:t>
            </w:r>
          </w:p>
        </w:tc>
        <w:tc>
          <w:tcPr>
            <w:tcW w:type="dxa" w:w="2200"/>
            <w:tcMar>
              <w:top w:type="dxa" w:w="80"/>
              <w:left w:type="dxa" w:w="100"/>
              <w:bottom w:type="dxa" w:w="80"/>
              <w:right w:type="dxa" w:w="100"/>
            </w:tcMar>
            <w:vAlign w:val="center"/>
          </w:tcPr>
          <w:p>
            <w:r>
              <w:rPr>
                <w:b w:val="false"/>
                <w:bCs w:val="false"/>
                <w:color w:val="666666"/>
                <w:sz w:val="20"/>
                <w:szCs w:val="20"/>
              </w:rPr>
              <w:t xml:space="preserve">Low</w:t>
            </w:r>
          </w:p>
        </w:tc>
        <w:tc>
          <w:tcPr>
            <w:tcW w:type="dxa" w:w="2200"/>
            <w:tcMar>
              <w:top w:type="dxa" w:w="80"/>
              <w:left w:type="dxa" w:w="100"/>
              <w:bottom w:type="dxa" w:w="80"/>
              <w:right w:type="dxa" w:w="100"/>
            </w:tcMar>
            <w:vAlign w:val="center"/>
          </w:tcPr>
          <w:p>
            <w:r>
              <w:rPr>
                <w:b w:val="false"/>
                <w:bCs w:val="false"/>
                <w:color w:val="666666"/>
                <w:sz w:val="20"/>
                <w:szCs w:val="20"/>
              </w:rPr>
              <w:t xml:space="preserve">Medium</w:t>
            </w:r>
          </w:p>
        </w:tc>
        <w:tc>
          <w:tcPr>
            <w:tcW w:type="dxa" w:w="2200"/>
            <w:tcMar>
              <w:top w:type="dxa" w:w="80"/>
              <w:left w:type="dxa" w:w="100"/>
              <w:bottom w:type="dxa" w:w="80"/>
              <w:right w:type="dxa" w:w="100"/>
            </w:tcMar>
            <w:vAlign w:val="center"/>
          </w:tcPr>
          <w:p>
            <w:r>
              <w:rPr>
                <w:b w:val="false"/>
                <w:bCs w:val="false"/>
                <w:color w:val="666666"/>
                <w:sz w:val="20"/>
                <w:szCs w:val="20"/>
              </w:rPr>
              <w:t xml:space="preserve">High</w:t>
            </w:r>
          </w:p>
        </w:tc>
      </w:tr>
      <w:tr>
        <w:tc>
          <w:tcPr>
            <w:tcW w:type="dxa" w:w="2760"/>
            <w:tcMar>
              <w:top w:type="dxa" w:w="80"/>
              <w:left w:type="dxa" w:w="100"/>
              <w:bottom w:type="dxa" w:w="80"/>
              <w:right w:type="dxa" w:w="100"/>
            </w:tcMar>
            <w:vAlign w:val="center"/>
          </w:tcPr>
          <w:p>
            <w:r>
              <w:rPr>
                <w:b w:val="false"/>
                <w:bCs w:val="false"/>
                <w:color w:val="666666"/>
                <w:sz w:val="20"/>
                <w:szCs w:val="20"/>
              </w:rPr>
              <w:t xml:space="preserve">Demand consistency</w:t>
            </w:r>
          </w:p>
        </w:tc>
        <w:tc>
          <w:tcPr>
            <w:tcW w:type="dxa" w:w="2200"/>
            <w:tcMar>
              <w:top w:type="dxa" w:w="80"/>
              <w:left w:type="dxa" w:w="100"/>
              <w:bottom w:type="dxa" w:w="80"/>
              <w:right w:type="dxa" w:w="100"/>
            </w:tcMar>
            <w:vAlign w:val="center"/>
          </w:tcPr>
          <w:p>
            <w:r>
              <w:rPr>
                <w:b w:val="false"/>
                <w:bCs w:val="false"/>
                <w:color w:val="666666"/>
                <w:sz w:val="20"/>
                <w:szCs w:val="20"/>
              </w:rPr>
              <w:t xml:space="preserve">Lumpy</w:t>
            </w:r>
          </w:p>
        </w:tc>
        <w:tc>
          <w:tcPr>
            <w:tcW w:type="dxa" w:w="2200"/>
            <w:tcMar>
              <w:top w:type="dxa" w:w="80"/>
              <w:left w:type="dxa" w:w="100"/>
              <w:bottom w:type="dxa" w:w="80"/>
              <w:right w:type="dxa" w:w="100"/>
            </w:tcMar>
            <w:vAlign w:val="center"/>
          </w:tcPr>
          <w:p>
            <w:r>
              <w:rPr>
                <w:b w:val="false"/>
                <w:bCs w:val="false"/>
                <w:color w:val="666666"/>
                <w:sz w:val="20"/>
                <w:szCs w:val="20"/>
              </w:rPr>
              <w:t xml:space="preserve">Strong</w:t>
            </w:r>
          </w:p>
        </w:tc>
        <w:tc>
          <w:tcPr>
            <w:tcW w:type="dxa" w:w="2200"/>
            <w:tcMar>
              <w:top w:type="dxa" w:w="80"/>
              <w:left w:type="dxa" w:w="100"/>
              <w:bottom w:type="dxa" w:w="80"/>
              <w:right w:type="dxa" w:w="100"/>
            </w:tcMar>
            <w:vAlign w:val="center"/>
          </w:tcPr>
          <w:p>
            <w:r>
              <w:rPr>
                <w:b w:val="false"/>
                <w:bCs w:val="false"/>
                <w:color w:val="666666"/>
                <w:sz w:val="20"/>
                <w:szCs w:val="20"/>
              </w:rPr>
              <w:t xml:space="preserve">Year-round</w:t>
            </w:r>
          </w:p>
        </w:tc>
      </w:tr>
      <w:tr>
        <w:tc>
          <w:tcPr>
            <w:tcW w:type="dxa" w:w="2760"/>
            <w:tcMar>
              <w:top w:type="dxa" w:w="80"/>
              <w:left w:type="dxa" w:w="100"/>
              <w:bottom w:type="dxa" w:w="80"/>
              <w:right w:type="dxa" w:w="100"/>
            </w:tcMar>
            <w:vAlign w:val="center"/>
          </w:tcPr>
          <w:p>
            <w:r>
              <w:rPr>
                <w:b w:val="false"/>
                <w:bCs w:val="false"/>
                <w:color w:val="666666"/>
                <w:sz w:val="20"/>
                <w:szCs w:val="20"/>
              </w:rPr>
              <w:t xml:space="preserve">Stickiness</w:t>
            </w:r>
          </w:p>
        </w:tc>
        <w:tc>
          <w:tcPr>
            <w:tcW w:type="dxa" w:w="2200"/>
            <w:tcMar>
              <w:top w:type="dxa" w:w="80"/>
              <w:left w:type="dxa" w:w="100"/>
              <w:bottom w:type="dxa" w:w="80"/>
              <w:right w:type="dxa" w:w="100"/>
            </w:tcMar>
            <w:vAlign w:val="center"/>
          </w:tcPr>
          <w:p>
            <w:r>
              <w:rPr>
                <w:b w:val="false"/>
                <w:bCs w:val="false"/>
                <w:color w:val="666666"/>
                <w:sz w:val="20"/>
                <w:szCs w:val="20"/>
              </w:rPr>
              <w:t xml:space="preserve">Low</w:t>
            </w:r>
          </w:p>
        </w:tc>
        <w:tc>
          <w:tcPr>
            <w:tcW w:type="dxa" w:w="2200"/>
            <w:tcMar>
              <w:top w:type="dxa" w:w="80"/>
              <w:left w:type="dxa" w:w="100"/>
              <w:bottom w:type="dxa" w:w="80"/>
              <w:right w:type="dxa" w:w="100"/>
            </w:tcMar>
            <w:vAlign w:val="center"/>
          </w:tcPr>
          <w:p>
            <w:r>
              <w:rPr>
                <w:b w:val="false"/>
                <w:bCs w:val="false"/>
                <w:color w:val="666666"/>
                <w:sz w:val="20"/>
                <w:szCs w:val="20"/>
              </w:rPr>
              <w:t xml:space="preserve">High</w:t>
            </w:r>
          </w:p>
        </w:tc>
        <w:tc>
          <w:tcPr>
            <w:tcW w:type="dxa" w:w="2200"/>
            <w:tcMar>
              <w:top w:type="dxa" w:w="80"/>
              <w:left w:type="dxa" w:w="100"/>
              <w:bottom w:type="dxa" w:w="80"/>
              <w:right w:type="dxa" w:w="100"/>
            </w:tcMar>
            <w:vAlign w:val="center"/>
          </w:tcPr>
          <w:p>
            <w:r>
              <w:rPr>
                <w:b w:val="false"/>
                <w:bCs w:val="false"/>
                <w:color w:val="666666"/>
                <w:sz w:val="20"/>
                <w:szCs w:val="20"/>
              </w:rPr>
              <w:t xml:space="preserve">High</w:t>
            </w:r>
          </w:p>
        </w:tc>
      </w:tr>
      <w:tr>
        <w:tc>
          <w:tcPr>
            <w:tcW w:type="dxa" w:w="2760"/>
            <w:tcMar>
              <w:top w:type="dxa" w:w="80"/>
              <w:left w:type="dxa" w:w="100"/>
              <w:bottom w:type="dxa" w:w="80"/>
              <w:right w:type="dxa" w:w="100"/>
            </w:tcMar>
            <w:vAlign w:val="center"/>
          </w:tcPr>
          <w:p>
            <w:r>
              <w:rPr>
                <w:b w:val="false"/>
                <w:bCs w:val="false"/>
                <w:color w:val="666666"/>
                <w:sz w:val="20"/>
                <w:szCs w:val="20"/>
              </w:rPr>
              <w:t xml:space="preserve">Market size</w:t>
            </w:r>
          </w:p>
        </w:tc>
        <w:tc>
          <w:tcPr>
            <w:tcW w:type="dxa" w:w="2200"/>
            <w:tcMar>
              <w:top w:type="dxa" w:w="80"/>
              <w:left w:type="dxa" w:w="100"/>
              <w:bottom w:type="dxa" w:w="80"/>
              <w:right w:type="dxa" w:w="100"/>
            </w:tcMar>
            <w:vAlign w:val="center"/>
          </w:tcPr>
          <w:p>
            <w:r>
              <w:rPr>
                <w:b w:val="false"/>
                <w:bCs w:val="false"/>
                <w:color w:val="666666"/>
                <w:sz w:val="20"/>
                <w:szCs w:val="20"/>
              </w:rPr>
              <w:t xml:space="preserve">Largest</w:t>
            </w:r>
          </w:p>
        </w:tc>
        <w:tc>
          <w:tcPr>
            <w:tcW w:type="dxa" w:w="2200"/>
            <w:tcMar>
              <w:top w:type="dxa" w:w="80"/>
              <w:left w:type="dxa" w:w="100"/>
              <w:bottom w:type="dxa" w:w="80"/>
              <w:right w:type="dxa" w:w="100"/>
            </w:tcMar>
            <w:vAlign w:val="center"/>
          </w:tcPr>
          <w:p>
            <w:r>
              <w:rPr>
                <w:b w:val="false"/>
                <w:bCs w:val="false"/>
                <w:color w:val="666666"/>
                <w:sz w:val="20"/>
                <w:szCs w:val="20"/>
              </w:rPr>
              <w:t xml:space="preserve">Large</w:t>
            </w:r>
          </w:p>
        </w:tc>
        <w:tc>
          <w:tcPr>
            <w:tcW w:type="dxa" w:w="2200"/>
            <w:tcMar>
              <w:top w:type="dxa" w:w="80"/>
              <w:left w:type="dxa" w:w="100"/>
              <w:bottom w:type="dxa" w:w="80"/>
              <w:right w:type="dxa" w:w="100"/>
            </w:tcMar>
            <w:vAlign w:val="center"/>
          </w:tcPr>
          <w:p>
            <w:r>
              <w:rPr>
                <w:b w:val="false"/>
                <w:bCs w:val="false"/>
                <w:color w:val="666666"/>
                <w:sz w:val="20"/>
                <w:szCs w:val="20"/>
              </w:rPr>
              <w:t xml:space="preserve">Medium</w:t>
            </w:r>
          </w:p>
        </w:tc>
      </w:tr>
    </w:tbl>
    <w:p>
      <w:pPr>
        <w:spacing w:after="200" w:before="160"/>
      </w:pPr>
      <w:r>
        <w:rPr>
          <w:b/>
          <w:bCs/>
          <w:color w:val="666666"/>
        </w:rPr>
        <w:t xml:space="preserve">Phoenix HVAC is the beachhead. </w:t>
      </w:r>
      <w:r>
        <w:rPr>
          <w:color w:val="666666"/>
        </w:rPr>
        <w:t xml:space="preserve">It offers the cleanest fit between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’s core product, a receptionist that never misses a call, and the customer’s most acute pain: when an air conditioner fails at 113 degrees, the homeowner calls the next contractor within thirty seconds, and roughly 60% of after-hours HVAC calls go unanswered (ServiceTitan). HVAC contractors have high ability to pay and sticky retention, and the summer demand peak is an advantage, signaling exactly when to concentrate marketing.</w:t>
      </w:r>
    </w:p>
    <w:p>
      <w:pPr>
        <w:spacing w:after="200"/>
      </w:pPr>
      <w:r>
        <w:rPr>
          <w:b/>
          <w:bCs/>
          <w:color w:val="666666"/>
        </w:rPr>
        <w:t xml:space="preserve">The serviceable market, sized bottom-up. </w:t>
      </w:r>
      <w:r>
        <w:rPr>
          <w:color w:val="666666"/>
        </w:rPr>
        <w:t xml:space="preserve">A single trade in a single metro is a deliberately small serviceable market, hundreds of businesses, not thousands, and that is correct. Phoenix supports an estimated 800 to 1,500 HVAC businesses, of which roughly half lack a website, defining a focused cold-outreach pool. (The exact count is obtained directly from a Google Maps data pull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080"/>
        <w:gridCol w:w="3080"/>
      </w:tblGrid>
      <w:tr>
        <w:trPr>
          <w:tblHeader/>
        </w:trPr>
        <w:tc>
          <w:tcPr>
            <w:tcW w:type="dxa" w:w="3200"/>
            <w:shd w:fill="D9D9D9" w:color="auto" w:val="clear"/>
            <w:tcMar>
              <w:top w:type="dxa" w:w="80"/>
              <w:left w:type="dxa" w:w="100"/>
              <w:bottom w:type="dxa" w:w="80"/>
              <w:right w:type="dxa" w:w="100"/>
            </w:tcMar>
            <w:vAlign w:val="center"/>
          </w:tcPr>
          <w:p>
            <w:r>
              <w:rPr>
                <w:b/>
                <w:bCs/>
                <w:color w:val="666666"/>
                <w:sz w:val="20"/>
                <w:szCs w:val="20"/>
              </w:rPr>
              <w:t xml:space="preserve">Year-1 capture of engaged pool</w:t>
            </w:r>
          </w:p>
        </w:tc>
        <w:tc>
          <w:tcPr>
            <w:tcW w:type="dxa" w:w="3080"/>
            <w:shd w:fill="D9D9D9" w:color="auto" w:val="clear"/>
            <w:tcMar>
              <w:top w:type="dxa" w:w="80"/>
              <w:left w:type="dxa" w:w="100"/>
              <w:bottom w:type="dxa" w:w="80"/>
              <w:right w:type="dxa" w:w="100"/>
            </w:tcMar>
            <w:vAlign w:val="center"/>
          </w:tcPr>
          <w:p>
            <w:r>
              <w:rPr>
                <w:b/>
                <w:bCs/>
                <w:color w:val="666666"/>
                <w:sz w:val="20"/>
                <w:szCs w:val="20"/>
              </w:rPr>
              <w:t xml:space="preserve">Paying customers</w:t>
            </w:r>
          </w:p>
        </w:tc>
        <w:tc>
          <w:tcPr>
            <w:tcW w:type="dxa" w:w="3080"/>
            <w:shd w:fill="D9D9D9" w:color="auto" w:val="clear"/>
            <w:tcMar>
              <w:top w:type="dxa" w:w="80"/>
              <w:left w:type="dxa" w:w="100"/>
              <w:bottom w:type="dxa" w:w="80"/>
              <w:right w:type="dxa" w:w="100"/>
            </w:tcMar>
            <w:vAlign w:val="center"/>
          </w:tcPr>
          <w:p>
            <w:r>
              <w:rPr>
                <w:b/>
                <w:bCs/>
                <w:color w:val="666666"/>
                <w:sz w:val="20"/>
                <w:szCs w:val="20"/>
              </w:rPr>
              <w:t xml:space="preserve">ARR at ~$5,800 ACV</w:t>
            </w:r>
          </w:p>
        </w:tc>
      </w:tr>
      <w:tr>
        <w:tc>
          <w:tcPr>
            <w:tcW w:type="dxa" w:w="3200"/>
            <w:tcMar>
              <w:top w:type="dxa" w:w="80"/>
              <w:left w:type="dxa" w:w="100"/>
              <w:bottom w:type="dxa" w:w="80"/>
              <w:right w:type="dxa" w:w="100"/>
            </w:tcMar>
            <w:vAlign w:val="center"/>
          </w:tcPr>
          <w:p>
            <w:r>
              <w:rPr>
                <w:b w:val="false"/>
                <w:bCs w:val="false"/>
                <w:color w:val="666666"/>
                <w:sz w:val="20"/>
                <w:szCs w:val="20"/>
              </w:rPr>
              <w:t xml:space="preserve">10%</w:t>
            </w:r>
          </w:p>
        </w:tc>
        <w:tc>
          <w:tcPr>
            <w:tcW w:type="dxa" w:w="3080"/>
            <w:tcMar>
              <w:top w:type="dxa" w:w="80"/>
              <w:left w:type="dxa" w:w="100"/>
              <w:bottom w:type="dxa" w:w="80"/>
              <w:right w:type="dxa" w:w="100"/>
            </w:tcMar>
            <w:vAlign w:val="center"/>
          </w:tcPr>
          <w:p>
            <w:r>
              <w:rPr>
                <w:b w:val="false"/>
                <w:bCs w:val="false"/>
                <w:color w:val="666666"/>
                <w:sz w:val="20"/>
                <w:szCs w:val="20"/>
              </w:rPr>
              <w:t xml:space="preserve">~50</w:t>
            </w:r>
          </w:p>
        </w:tc>
        <w:tc>
          <w:tcPr>
            <w:tcW w:type="dxa" w:w="3080"/>
            <w:tcMar>
              <w:top w:type="dxa" w:w="80"/>
              <w:left w:type="dxa" w:w="100"/>
              <w:bottom w:type="dxa" w:w="80"/>
              <w:right w:type="dxa" w:w="100"/>
            </w:tcMar>
            <w:vAlign w:val="center"/>
          </w:tcPr>
          <w:p>
            <w:r>
              <w:rPr>
                <w:b w:val="false"/>
                <w:bCs w:val="false"/>
                <w:color w:val="666666"/>
                <w:sz w:val="20"/>
                <w:szCs w:val="20"/>
              </w:rPr>
              <w:t xml:space="preserve">~$290K</w:t>
            </w:r>
          </w:p>
        </w:tc>
      </w:tr>
      <w:tr>
        <w:tc>
          <w:tcPr>
            <w:tcW w:type="dxa" w:w="3200"/>
            <w:tcMar>
              <w:top w:type="dxa" w:w="80"/>
              <w:left w:type="dxa" w:w="100"/>
              <w:bottom w:type="dxa" w:w="80"/>
              <w:right w:type="dxa" w:w="100"/>
            </w:tcMar>
            <w:vAlign w:val="center"/>
          </w:tcPr>
          <w:p>
            <w:r>
              <w:rPr>
                <w:b w:val="false"/>
                <w:bCs w:val="false"/>
                <w:color w:val="666666"/>
                <w:sz w:val="20"/>
                <w:szCs w:val="20"/>
              </w:rPr>
              <w:t xml:space="preserve">15%</w:t>
            </w:r>
          </w:p>
        </w:tc>
        <w:tc>
          <w:tcPr>
            <w:tcW w:type="dxa" w:w="3080"/>
            <w:tcMar>
              <w:top w:type="dxa" w:w="80"/>
              <w:left w:type="dxa" w:w="100"/>
              <w:bottom w:type="dxa" w:w="80"/>
              <w:right w:type="dxa" w:w="100"/>
            </w:tcMar>
            <w:vAlign w:val="center"/>
          </w:tcPr>
          <w:p>
            <w:r>
              <w:rPr>
                <w:b w:val="false"/>
                <w:bCs w:val="false"/>
                <w:color w:val="666666"/>
                <w:sz w:val="20"/>
                <w:szCs w:val="20"/>
              </w:rPr>
              <w:t xml:space="preserve">~75</w:t>
            </w:r>
          </w:p>
        </w:tc>
        <w:tc>
          <w:tcPr>
            <w:tcW w:type="dxa" w:w="3080"/>
            <w:tcMar>
              <w:top w:type="dxa" w:w="80"/>
              <w:left w:type="dxa" w:w="100"/>
              <w:bottom w:type="dxa" w:w="80"/>
              <w:right w:type="dxa" w:w="100"/>
            </w:tcMar>
            <w:vAlign w:val="center"/>
          </w:tcPr>
          <w:p>
            <w:r>
              <w:rPr>
                <w:b w:val="false"/>
                <w:bCs w:val="false"/>
                <w:color w:val="666666"/>
                <w:sz w:val="20"/>
                <w:szCs w:val="20"/>
              </w:rPr>
              <w:t xml:space="preserve">~$440K</w:t>
            </w:r>
          </w:p>
        </w:tc>
      </w:tr>
      <w:tr>
        <w:tc>
          <w:tcPr>
            <w:tcW w:type="dxa" w:w="3200"/>
            <w:tcMar>
              <w:top w:type="dxa" w:w="80"/>
              <w:left w:type="dxa" w:w="100"/>
              <w:bottom w:type="dxa" w:w="80"/>
              <w:right w:type="dxa" w:w="100"/>
            </w:tcMar>
            <w:vAlign w:val="center"/>
          </w:tcPr>
          <w:p>
            <w:r>
              <w:rPr>
                <w:b w:val="false"/>
                <w:bCs w:val="false"/>
                <w:color w:val="666666"/>
                <w:sz w:val="20"/>
                <w:szCs w:val="20"/>
              </w:rPr>
              <w:t xml:space="preserve">20%</w:t>
            </w:r>
          </w:p>
        </w:tc>
        <w:tc>
          <w:tcPr>
            <w:tcW w:type="dxa" w:w="3080"/>
            <w:tcMar>
              <w:top w:type="dxa" w:w="80"/>
              <w:left w:type="dxa" w:w="100"/>
              <w:bottom w:type="dxa" w:w="80"/>
              <w:right w:type="dxa" w:w="100"/>
            </w:tcMar>
            <w:vAlign w:val="center"/>
          </w:tcPr>
          <w:p>
            <w:r>
              <w:rPr>
                <w:b w:val="false"/>
                <w:bCs w:val="false"/>
                <w:color w:val="666666"/>
                <w:sz w:val="20"/>
                <w:szCs w:val="20"/>
              </w:rPr>
              <w:t xml:space="preserve">~100</w:t>
            </w:r>
          </w:p>
        </w:tc>
        <w:tc>
          <w:tcPr>
            <w:tcW w:type="dxa" w:w="3080"/>
            <w:tcMar>
              <w:top w:type="dxa" w:w="80"/>
              <w:left w:type="dxa" w:w="100"/>
              <w:bottom w:type="dxa" w:w="80"/>
              <w:right w:type="dxa" w:w="100"/>
            </w:tcMar>
            <w:vAlign w:val="center"/>
          </w:tcPr>
          <w:p>
            <w:r>
              <w:rPr>
                <w:b w:val="false"/>
                <w:bCs w:val="false"/>
                <w:color w:val="666666"/>
                <w:sz w:val="20"/>
                <w:szCs w:val="20"/>
              </w:rPr>
              <w:t xml:space="preserve">~$585K</w:t>
            </w:r>
          </w:p>
        </w:tc>
      </w:tr>
    </w:tbl>
    <w:p>
      <w:pPr>
        <w:spacing w:after="200" w:before="160"/>
      </w:pPr>
      <w:r>
        <w:rPr>
          <w:color w:val="666666"/>
        </w:rPr>
        <w:t xml:space="preserve">Roughly fifty customers from one metro generates approximately $290,000 in ARR at an 87% gross margin, enough gross profit at sub-one-month payback to self-fund the second metro without additional capital. The beachhead is the seed crystal, not the ceiling.</w:t>
      </w:r>
    </w:p>
    <w:p>
      <w:pPr>
        <w:pStyle w:val="Heading1"/>
        <w:spacing w:after="240" w:before="400"/>
      </w:pPr>
      <w:r>
        <w:rPr>
          <w:color w:val="666666"/>
        </w:rPr>
        <w:t xml:space="preserve">The Product: An AI Office</w:t>
      </w:r>
    </w:p>
    <w:p>
      <w:pPr>
        <w:spacing w:after="200"/>
      </w:pP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never sells technology. It sells employees, organized into tiers a contractor instantly understands.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400"/>
        <w:gridCol w:w="4560"/>
      </w:tblGrid>
      <w:tr>
        <w:trPr>
          <w:tblHeader/>
        </w:trPr>
        <w:tc>
          <w:tcPr>
            <w:tcW w:type="dxa" w:w="2400"/>
            <w:shd w:fill="D9D9D9" w:color="auto" w:val="clear"/>
            <w:tcMar>
              <w:top w:type="dxa" w:w="80"/>
              <w:left w:type="dxa" w:w="100"/>
              <w:bottom w:type="dxa" w:w="80"/>
              <w:right w:type="dxa" w:w="100"/>
            </w:tcMar>
            <w:vAlign w:val="center"/>
          </w:tcPr>
          <w:p>
            <w:r>
              <w:rPr>
                <w:b/>
                <w:bCs/>
                <w:color w:val="666666"/>
                <w:sz w:val="20"/>
                <w:szCs w:val="20"/>
              </w:rPr>
              <w:t xml:space="preserve">Tier</w:t>
            </w:r>
          </w:p>
        </w:tc>
        <w:tc>
          <w:tcPr>
            <w:tcW w:type="dxa" w:w="2400"/>
            <w:shd w:fill="D9D9D9" w:color="auto" w:val="clear"/>
            <w:tcMar>
              <w:top w:type="dxa" w:w="80"/>
              <w:left w:type="dxa" w:w="100"/>
              <w:bottom w:type="dxa" w:w="80"/>
              <w:right w:type="dxa" w:w="100"/>
            </w:tcMar>
            <w:vAlign w:val="center"/>
          </w:tcPr>
          <w:p>
            <w:r>
              <w:rPr>
                <w:b/>
                <w:bCs/>
                <w:color w:val="666666"/>
                <w:sz w:val="20"/>
                <w:szCs w:val="20"/>
              </w:rPr>
              <w:t xml:space="preserve">The hire</w:t>
            </w:r>
          </w:p>
        </w:tc>
        <w:tc>
          <w:tcPr>
            <w:tcW w:type="dxa" w:w="4560"/>
            <w:shd w:fill="D9D9D9" w:color="auto" w:val="clear"/>
            <w:tcMar>
              <w:top w:type="dxa" w:w="80"/>
              <w:left w:type="dxa" w:w="100"/>
              <w:bottom w:type="dxa" w:w="80"/>
              <w:right w:type="dxa" w:w="100"/>
            </w:tcMar>
            <w:vAlign w:val="center"/>
          </w:tcPr>
          <w:p>
            <w:r>
              <w:rPr>
                <w:b/>
                <w:bCs/>
                <w:color w:val="666666"/>
                <w:sz w:val="20"/>
                <w:szCs w:val="20"/>
              </w:rPr>
              <w:t xml:space="preserve">What it does for an HVAC shop</w:t>
            </w:r>
          </w:p>
        </w:tc>
      </w:tr>
      <w:tr>
        <w:tc>
          <w:tcPr>
            <w:tcW w:type="dxa" w:w="2400"/>
            <w:tcMar>
              <w:top w:type="dxa" w:w="80"/>
              <w:left w:type="dxa" w:w="100"/>
              <w:bottom w:type="dxa" w:w="80"/>
              <w:right w:type="dxa" w:w="100"/>
            </w:tcMar>
            <w:vAlign w:val="center"/>
          </w:tcPr>
          <w:p>
            <w:r>
              <w:rPr>
                <w:b w:val="false"/>
                <w:bCs w:val="false"/>
                <w:color w:val="666666"/>
                <w:sz w:val="20"/>
                <w:szCs w:val="20"/>
              </w:rPr>
              <w:t xml:space="preserve">Office Staff ($497/mo)</w:t>
            </w:r>
          </w:p>
        </w:tc>
        <w:tc>
          <w:tcPr>
            <w:tcW w:type="dxa" w:w="2400"/>
            <w:tcMar>
              <w:top w:type="dxa" w:w="80"/>
              <w:left w:type="dxa" w:w="100"/>
              <w:bottom w:type="dxa" w:w="80"/>
              <w:right w:type="dxa" w:w="100"/>
            </w:tcMar>
            <w:vAlign w:val="center"/>
          </w:tcPr>
          <w:p>
            <w:r>
              <w:rPr>
                <w:b w:val="false"/>
                <w:bCs w:val="false"/>
                <w:color w:val="666666"/>
                <w:sz w:val="20"/>
                <w:szCs w:val="20"/>
              </w:rPr>
              <w:t xml:space="preserve">Service Advisor</w:t>
            </w:r>
          </w:p>
        </w:tc>
        <w:tc>
          <w:tcPr>
            <w:tcW w:type="dxa" w:w="4560"/>
            <w:tcMar>
              <w:top w:type="dxa" w:w="80"/>
              <w:left w:type="dxa" w:w="100"/>
              <w:bottom w:type="dxa" w:w="80"/>
              <w:right w:type="dxa" w:w="100"/>
            </w:tcMar>
            <w:vAlign w:val="center"/>
          </w:tcPr>
          <w:p>
            <w:r>
              <w:rPr>
                <w:b w:val="false"/>
                <w:bCs w:val="false"/>
                <w:color w:val="666666"/>
                <w:sz w:val="20"/>
                <w:szCs w:val="20"/>
              </w:rPr>
              <w:t xml:space="preserve">Pre-qualifies the call so trucks roll only on real jobs</w:t>
            </w:r>
          </w:p>
        </w:tc>
      </w:tr>
      <w:tr>
        <w:tc>
          <w:tcPr>
            <w:tcW w:type="dxa" w:w="2400"/>
            <w:tcMar>
              <w:top w:type="dxa" w:w="80"/>
              <w:left w:type="dxa" w:w="100"/>
              <w:bottom w:type="dxa" w:w="80"/>
              <w:right w:type="dxa" w:w="100"/>
            </w:tcMar>
            <w:vAlign w:val="center"/>
          </w:tcPr>
          <w:p>
            <w:r>
              <w:rPr>
                <w:b w:val="false"/>
                <w:bCs w:val="false"/>
                <w:color w:val="666666"/>
                <w:sz w:val="20"/>
                <w:szCs w:val="20"/>
              </w:rPr>
              <w:t xml:space="preserve"/>
            </w:r>
          </w:p>
        </w:tc>
        <w:tc>
          <w:tcPr>
            <w:tcW w:type="dxa" w:w="2400"/>
            <w:tcMar>
              <w:top w:type="dxa" w:w="80"/>
              <w:left w:type="dxa" w:w="100"/>
              <w:bottom w:type="dxa" w:w="80"/>
              <w:right w:type="dxa" w:w="100"/>
            </w:tcMar>
            <w:vAlign w:val="center"/>
          </w:tcPr>
          <w:p>
            <w:r>
              <w:rPr>
                <w:b w:val="false"/>
                <w:bCs w:val="false"/>
                <w:color w:val="666666"/>
                <w:sz w:val="20"/>
                <w:szCs w:val="20"/>
              </w:rPr>
              <w:t xml:space="preserve">24/7 Receptionist</w:t>
            </w:r>
          </w:p>
        </w:tc>
        <w:tc>
          <w:tcPr>
            <w:tcW w:type="dxa" w:w="4560"/>
            <w:tcMar>
              <w:top w:type="dxa" w:w="80"/>
              <w:left w:type="dxa" w:w="100"/>
              <w:bottom w:type="dxa" w:w="80"/>
              <w:right w:type="dxa" w:w="100"/>
            </w:tcMar>
            <w:vAlign w:val="center"/>
          </w:tcPr>
          <w:p>
            <w:r>
              <w:rPr>
                <w:b w:val="false"/>
                <w:bCs w:val="false"/>
                <w:color w:val="666666"/>
                <w:sz w:val="20"/>
                <w:szCs w:val="20"/>
              </w:rPr>
              <w:t xml:space="preserve">Answers every call, 24/7, even at 2 a.m. in July when the AC dies</w:t>
            </w:r>
          </w:p>
        </w:tc>
      </w:tr>
      <w:tr>
        <w:tc>
          <w:tcPr>
            <w:tcW w:type="dxa" w:w="2400"/>
            <w:tcMar>
              <w:top w:type="dxa" w:w="80"/>
              <w:left w:type="dxa" w:w="100"/>
              <w:bottom w:type="dxa" w:w="80"/>
              <w:right w:type="dxa" w:w="100"/>
            </w:tcMar>
            <w:vAlign w:val="center"/>
          </w:tcPr>
          <w:p>
            <w:r>
              <w:rPr>
                <w:b w:val="false"/>
                <w:bCs w:val="false"/>
                <w:color w:val="666666"/>
                <w:sz w:val="20"/>
                <w:szCs w:val="20"/>
              </w:rPr>
              <w:t xml:space="preserve"/>
            </w:r>
          </w:p>
        </w:tc>
        <w:tc>
          <w:tcPr>
            <w:tcW w:type="dxa" w:w="2400"/>
            <w:tcMar>
              <w:top w:type="dxa" w:w="80"/>
              <w:left w:type="dxa" w:w="100"/>
              <w:bottom w:type="dxa" w:w="80"/>
              <w:right w:type="dxa" w:w="100"/>
            </w:tcMar>
            <w:vAlign w:val="center"/>
          </w:tcPr>
          <w:p>
            <w:r>
              <w:rPr>
                <w:b w:val="false"/>
                <w:bCs w:val="false"/>
                <w:color w:val="666666"/>
                <w:sz w:val="20"/>
                <w:szCs w:val="20"/>
              </w:rPr>
              <w:t xml:space="preserve">Lead Coordinator</w:t>
            </w:r>
          </w:p>
        </w:tc>
        <w:tc>
          <w:tcPr>
            <w:tcW w:type="dxa" w:w="4560"/>
            <w:tcMar>
              <w:top w:type="dxa" w:w="80"/>
              <w:left w:type="dxa" w:w="100"/>
              <w:bottom w:type="dxa" w:w="80"/>
              <w:right w:type="dxa" w:w="100"/>
            </w:tcMar>
            <w:vAlign w:val="center"/>
          </w:tcPr>
          <w:p>
            <w:r>
              <w:rPr>
                <w:b w:val="false"/>
                <w:bCs w:val="false"/>
                <w:color w:val="666666"/>
                <w:sz w:val="20"/>
                <w:szCs w:val="20"/>
              </w:rPr>
              <w:t xml:space="preserve">Replies in seconds and keeps the lead warm before they call the next contractor</w:t>
            </w:r>
          </w:p>
        </w:tc>
      </w:tr>
      <w:tr>
        <w:tc>
          <w:tcPr>
            <w:tcW w:type="dxa" w:w="2400"/>
            <w:tcMar>
              <w:top w:type="dxa" w:w="80"/>
              <w:left w:type="dxa" w:w="100"/>
              <w:bottom w:type="dxa" w:w="80"/>
              <w:right w:type="dxa" w:w="100"/>
            </w:tcMar>
            <w:vAlign w:val="center"/>
          </w:tcPr>
          <w:p>
            <w:r>
              <w:rPr>
                <w:b w:val="false"/>
                <w:bCs w:val="false"/>
                <w:color w:val="666666"/>
                <w:sz w:val="20"/>
                <w:szCs w:val="20"/>
              </w:rPr>
              <w:t xml:space="preserve"/>
            </w:r>
          </w:p>
        </w:tc>
        <w:tc>
          <w:tcPr>
            <w:tcW w:type="dxa" w:w="2400"/>
            <w:tcMar>
              <w:top w:type="dxa" w:w="80"/>
              <w:left w:type="dxa" w:w="100"/>
              <w:bottom w:type="dxa" w:w="80"/>
              <w:right w:type="dxa" w:w="100"/>
            </w:tcMar>
            <w:vAlign w:val="center"/>
          </w:tcPr>
          <w:p>
            <w:r>
              <w:rPr>
                <w:b w:val="false"/>
                <w:bCs w:val="false"/>
                <w:color w:val="666666"/>
                <w:sz w:val="20"/>
                <w:szCs w:val="20"/>
              </w:rPr>
              <w:t xml:space="preserve">Reputation Manager</w:t>
            </w:r>
          </w:p>
        </w:tc>
        <w:tc>
          <w:tcPr>
            <w:tcW w:type="dxa" w:w="4560"/>
            <w:tcMar>
              <w:top w:type="dxa" w:w="80"/>
              <w:left w:type="dxa" w:w="100"/>
              <w:bottom w:type="dxa" w:w="80"/>
              <w:right w:type="dxa" w:w="100"/>
            </w:tcMar>
            <w:vAlign w:val="center"/>
          </w:tcPr>
          <w:p>
            <w:r>
              <w:rPr>
                <w:b w:val="false"/>
                <w:bCs w:val="false"/>
                <w:color w:val="666666"/>
                <w:sz w:val="20"/>
                <w:szCs w:val="20"/>
              </w:rPr>
              <w:t xml:space="preserve">Turns happy customers into five-star reviews automatically</w:t>
            </w:r>
          </w:p>
        </w:tc>
      </w:tr>
      <w:tr>
        <w:tc>
          <w:tcPr>
            <w:tcW w:type="dxa" w:w="2400"/>
            <w:tcMar>
              <w:top w:type="dxa" w:w="80"/>
              <w:left w:type="dxa" w:w="100"/>
              <w:bottom w:type="dxa" w:w="80"/>
              <w:right w:type="dxa" w:w="100"/>
            </w:tcMar>
            <w:vAlign w:val="center"/>
          </w:tcPr>
          <w:p>
            <w:r>
              <w:rPr>
                <w:b w:val="false"/>
                <w:bCs w:val="false"/>
                <w:color w:val="666666"/>
                <w:sz w:val="20"/>
                <w:szCs w:val="20"/>
              </w:rPr>
              <w:t xml:space="preserve"/>
            </w:r>
          </w:p>
        </w:tc>
        <w:tc>
          <w:tcPr>
            <w:tcW w:type="dxa" w:w="2400"/>
            <w:tcMar>
              <w:top w:type="dxa" w:w="80"/>
              <w:left w:type="dxa" w:w="100"/>
              <w:bottom w:type="dxa" w:w="80"/>
              <w:right w:type="dxa" w:w="100"/>
            </w:tcMar>
            <w:vAlign w:val="center"/>
          </w:tcPr>
          <w:p>
            <w:r>
              <w:rPr>
                <w:b w:val="false"/>
                <w:bCs w:val="false"/>
                <w:color w:val="666666"/>
                <w:sz w:val="20"/>
                <w:szCs w:val="20"/>
              </w:rPr>
              <w:t xml:space="preserve">Website Operations Manager</w:t>
            </w:r>
          </w:p>
        </w:tc>
        <w:tc>
          <w:tcPr>
            <w:tcW w:type="dxa" w:w="4560"/>
            <w:tcMar>
              <w:top w:type="dxa" w:w="80"/>
              <w:left w:type="dxa" w:w="100"/>
              <w:bottom w:type="dxa" w:w="80"/>
              <w:right w:type="dxa" w:w="100"/>
            </w:tcMar>
            <w:vAlign w:val="center"/>
          </w:tcPr>
          <w:p>
            <w:r>
              <w:rPr>
                <w:b w:val="false"/>
                <w:bCs w:val="false"/>
                <w:color w:val="666666"/>
                <w:sz w:val="20"/>
                <w:szCs w:val="20"/>
              </w:rPr>
              <w:t xml:space="preserve">Keeps the business online and the site current, hands-free</w:t>
            </w:r>
          </w:p>
        </w:tc>
      </w:tr>
      <w:tr>
        <w:tc>
          <w:tcPr>
            <w:tcW w:type="dxa" w:w="2400"/>
            <w:tcMar>
              <w:top w:type="dxa" w:w="80"/>
              <w:left w:type="dxa" w:w="100"/>
              <w:bottom w:type="dxa" w:w="80"/>
              <w:right w:type="dxa" w:w="100"/>
            </w:tcMar>
            <w:vAlign w:val="center"/>
          </w:tcPr>
          <w:p>
            <w:r>
              <w:rPr>
                <w:b w:val="false"/>
                <w:bCs w:val="false"/>
                <w:color w:val="666666"/>
                <w:sz w:val="20"/>
                <w:szCs w:val="20"/>
              </w:rPr>
              <w:t xml:space="preserve">Business Manager ($2,497/mo)</w:t>
            </w:r>
          </w:p>
        </w:tc>
        <w:tc>
          <w:tcPr>
            <w:tcW w:type="dxa" w:w="2400"/>
            <w:tcMar>
              <w:top w:type="dxa" w:w="80"/>
              <w:left w:type="dxa" w:w="100"/>
              <w:bottom w:type="dxa" w:w="80"/>
              <w:right w:type="dxa" w:w="100"/>
            </w:tcMar>
            <w:vAlign w:val="center"/>
          </w:tcPr>
          <w:p>
            <w:r>
              <w:rPr>
                <w:b w:val="false"/>
                <w:bCs w:val="false"/>
                <w:color w:val="666666"/>
                <w:sz w:val="20"/>
                <w:szCs w:val="20"/>
              </w:rPr>
              <w:t xml:space="preserve">Sales Consultant</w:t>
            </w:r>
          </w:p>
        </w:tc>
        <w:tc>
          <w:tcPr>
            <w:tcW w:type="dxa" w:w="4560"/>
            <w:tcMar>
              <w:top w:type="dxa" w:w="80"/>
              <w:left w:type="dxa" w:w="100"/>
              <w:bottom w:type="dxa" w:w="80"/>
              <w:right w:type="dxa" w:w="100"/>
            </w:tcMar>
            <w:vAlign w:val="center"/>
          </w:tcPr>
          <w:p>
            <w:r>
              <w:rPr>
                <w:b w:val="false"/>
                <w:bCs w:val="false"/>
                <w:color w:val="666666"/>
                <w:sz w:val="20"/>
                <w:szCs w:val="20"/>
              </w:rPr>
              <w:t xml:space="preserve">Helps homeowners say yes to the larger system</w:t>
            </w:r>
          </w:p>
        </w:tc>
      </w:tr>
      <w:tr>
        <w:tc>
          <w:tcPr>
            <w:tcW w:type="dxa" w:w="2400"/>
            <w:tcMar>
              <w:top w:type="dxa" w:w="80"/>
              <w:left w:type="dxa" w:w="100"/>
              <w:bottom w:type="dxa" w:w="80"/>
              <w:right w:type="dxa" w:w="100"/>
            </w:tcMar>
            <w:vAlign w:val="center"/>
          </w:tcPr>
          <w:p>
            <w:r>
              <w:rPr>
                <w:b w:val="false"/>
                <w:bCs w:val="false"/>
                <w:color w:val="666666"/>
                <w:sz w:val="20"/>
                <w:szCs w:val="20"/>
              </w:rPr>
              <w:t xml:space="preserve"/>
            </w:r>
          </w:p>
        </w:tc>
        <w:tc>
          <w:tcPr>
            <w:tcW w:type="dxa" w:w="2400"/>
            <w:tcMar>
              <w:top w:type="dxa" w:w="80"/>
              <w:left w:type="dxa" w:w="100"/>
              <w:bottom w:type="dxa" w:w="80"/>
              <w:right w:type="dxa" w:w="100"/>
            </w:tcMar>
            <w:vAlign w:val="center"/>
          </w:tcPr>
          <w:p>
            <w:r>
              <w:rPr>
                <w:b w:val="false"/>
                <w:bCs w:val="false"/>
                <w:color w:val="666666"/>
                <w:sz w:val="20"/>
                <w:szCs w:val="20"/>
              </w:rPr>
              <w:t xml:space="preserve">Marketing Coordinator</w:t>
            </w:r>
          </w:p>
        </w:tc>
        <w:tc>
          <w:tcPr>
            <w:tcW w:type="dxa" w:w="4560"/>
            <w:tcMar>
              <w:top w:type="dxa" w:w="80"/>
              <w:left w:type="dxa" w:w="100"/>
              <w:bottom w:type="dxa" w:w="80"/>
              <w:right w:type="dxa" w:w="100"/>
            </w:tcMar>
            <w:vAlign w:val="center"/>
          </w:tcPr>
          <w:p>
            <w:r>
              <w:rPr>
                <w:b w:val="false"/>
                <w:bCs w:val="false"/>
                <w:color w:val="666666"/>
                <w:sz w:val="20"/>
                <w:szCs w:val="20"/>
              </w:rPr>
              <w:t xml:space="preserve">Keeps the business visible every day without the owner posting</w:t>
            </w:r>
          </w:p>
        </w:tc>
      </w:tr>
      <w:tr>
        <w:tc>
          <w:tcPr>
            <w:tcW w:type="dxa" w:w="2400"/>
            <w:tcMar>
              <w:top w:type="dxa" w:w="80"/>
              <w:left w:type="dxa" w:w="100"/>
              <w:bottom w:type="dxa" w:w="80"/>
              <w:right w:type="dxa" w:w="100"/>
            </w:tcMar>
            <w:vAlign w:val="center"/>
          </w:tcPr>
          <w:p>
            <w:r>
              <w:rPr>
                <w:b w:val="false"/>
                <w:bCs w:val="false"/>
                <w:color w:val="666666"/>
                <w:sz w:val="20"/>
                <w:szCs w:val="20"/>
              </w:rPr>
              <w:t xml:space="preserve"/>
            </w:r>
          </w:p>
        </w:tc>
        <w:tc>
          <w:tcPr>
            <w:tcW w:type="dxa" w:w="2400"/>
            <w:tcMar>
              <w:top w:type="dxa" w:w="80"/>
              <w:left w:type="dxa" w:w="100"/>
              <w:bottom w:type="dxa" w:w="80"/>
              <w:right w:type="dxa" w:w="100"/>
            </w:tcMar>
            <w:vAlign w:val="center"/>
          </w:tcPr>
          <w:p>
            <w:r>
              <w:rPr>
                <w:b w:val="false"/>
                <w:bCs w:val="false"/>
                <w:color w:val="666666"/>
                <w:sz w:val="20"/>
                <w:szCs w:val="20"/>
              </w:rPr>
              <w:t xml:space="preserve">Growth Manager</w:t>
            </w:r>
          </w:p>
        </w:tc>
        <w:tc>
          <w:tcPr>
            <w:tcW w:type="dxa" w:w="4560"/>
            <w:tcMar>
              <w:top w:type="dxa" w:w="80"/>
              <w:left w:type="dxa" w:w="100"/>
              <w:bottom w:type="dxa" w:w="80"/>
              <w:right w:type="dxa" w:w="100"/>
            </w:tcMar>
            <w:vAlign w:val="center"/>
          </w:tcPr>
          <w:p>
            <w:r>
              <w:rPr>
                <w:b w:val="false"/>
                <w:bCs w:val="false"/>
                <w:color w:val="666666"/>
                <w:sz w:val="20"/>
                <w:szCs w:val="20"/>
              </w:rPr>
              <w:t xml:space="preserve">Brings in homeowners from Google and AI search</w:t>
            </w:r>
          </w:p>
        </w:tc>
      </w:tr>
    </w:tbl>
    <w:p>
      <w:pPr>
        <w:spacing w:after="200" w:before="160"/>
      </w:pPr>
      <w:r>
        <w:rPr>
          <w:color w:val="666666"/>
        </w:rPr>
        <w:t xml:space="preserve">The Office Staff tier (Service Advisor, 24/7 Receptionist, Lead Coordinator, Reputation Manager, Website Operations Manager) is presented as assembling a staff. It feels like hiring five people for less than the cost of one, because it is. Business Manager is not separately acquired; it is an upgrade sold to an existing Office Staff customer once the Receptionist has earned trust.</w:t>
      </w:r>
    </w:p>
    <w:p>
      <w:pPr>
        <w:spacing w:after="200"/>
      </w:pPr>
      <w:r>
        <w:rPr>
          <w:b/>
          <w:bCs/>
          <w:color w:val="666666"/>
        </w:rPr>
        <w:t xml:space="preserve">The invisible-AI principle. </w:t>
      </w:r>
      <w:r>
        <w:rPr>
          <w:color w:val="666666"/>
        </w:rPr>
        <w:t xml:space="preserve">As with a smartphone camera, the intelligence is invisible and the benefit is everything. Names describe the outcome a contractor already wants to hire for, not the technology underneath.</w:t>
      </w:r>
    </w:p>
    <w:p>
      <w:pPr>
        <w:spacing w:after="200"/>
      </w:pPr>
      <w:r>
        <w:rPr>
          <w:b/>
          <w:bCs/>
          <w:color w:val="666666"/>
        </w:rPr>
        <w:t xml:space="preserve">The product is also the roadmap. </w:t>
      </w:r>
      <w:r>
        <w:rPr>
          <w:color w:val="666666"/>
        </w:rPr>
        <w:t xml:space="preserve">Every future hire (Estimator, Dispatcher, Collections Assistant, Maintenance-Reminder Rep, Warranty Manager) is an upsell a contractor immediately grasps, because it maps to a role they would otherwise have to fill.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does not ship features; it grows the customer’s staff, and its own recurring revenue with it.</w:t>
      </w:r>
    </w:p>
    <w:p>
      <w:pPr>
        <w:pStyle w:val="Heading1"/>
        <w:spacing w:after="240" w:before="400"/>
      </w:pPr>
      <w:r>
        <w:rPr>
          <w:color w:val="666666"/>
        </w:rPr>
        <w:t xml:space="preserve">Positioning &amp; Messaging</w:t>
      </w:r>
    </w:p>
    <w:p>
      <w:pPr>
        <w:spacing w:after="200"/>
      </w:pPr>
      <w:r>
        <w:rPr>
          <w:b/>
          <w:bCs/>
          <w:color w:val="666666"/>
        </w:rPr>
        <w:t xml:space="preserve">North-star message: </w:t>
      </w:r>
      <w:r>
        <w:rPr>
          <w:i/>
          <w:iCs/>
          <w:color w:val="666666"/>
        </w:rPr>
        <w:t xml:space="preserve">Your office staff, working 24/7.</w:t>
      </w:r>
    </w:p>
    <w:p>
      <w:pPr>
        <w:spacing w:after="200"/>
      </w:pPr>
      <w:r>
        <w:rPr>
          <w:i/>
          <w:iCs/>
          <w:color w:val="666666"/>
        </w:rPr>
        <w:t xml:space="preserve">Answer every call</w:t>
      </w:r>
      <w:r>
        <w:rPr>
          <w:color w:val="666666"/>
        </w:rPr>
        <w:t xml:space="preserve"> (the wedge), </w:t>
      </w:r>
      <w:r>
        <w:rPr>
          <w:i/>
          <w:iCs/>
          <w:color w:val="666666"/>
        </w:rPr>
        <w:t xml:space="preserve">close every lead</w:t>
      </w:r>
      <w:r>
        <w:rPr>
          <w:color w:val="666666"/>
        </w:rPr>
        <w:t xml:space="preserve"> (the category), and </w:t>
      </w:r>
      <w:r>
        <w:rPr>
          <w:i/>
          <w:iCs/>
          <w:color w:val="666666"/>
        </w:rPr>
        <w:t xml:space="preserve">stop leaving money on the voicemail</w:t>
      </w:r>
      <w:r>
        <w:rPr>
          <w:color w:val="666666"/>
        </w:rPr>
        <w:t xml:space="preserve"> (the brand). Every asset leads with lost revenue, never with a feature.</w:t>
      </w:r>
    </w:p>
    <w:p>
      <w:pPr>
        <w:spacing w:after="200"/>
      </w:pPr>
      <w:r>
        <w:rPr>
          <w:b/>
          <w:bCs/>
          <w:color w:val="666666"/>
        </w:rPr>
        <w:t xml:space="preserve">The Phoenix HVAC pitch, in one breath: </w:t>
      </w:r>
      <w:r>
        <w:rPr>
          <w:color w:val="666666"/>
        </w:rPr>
        <w:t xml:space="preserve">a missed call in a heatwave is not a missed call, it is a competitor’s invoice. It is 113 degrees and a homeowner’s AC is dead. That is not a lost $400 service call; it is the $400 call, plus the $8,000 system replacement it would have become, plus the $5,000 to $15,000 lifetime value of that customer and their referrals (Housecall Pro). The Receptionist answers, qualifies, books, and texts the owner the details before the truck leaves the last job.</w:t>
      </w:r>
    </w:p>
    <w:p>
      <w:pPr>
        <w:spacing w:after="200"/>
      </w:pPr>
      <w:r>
        <w:rPr>
          <w:color w:val="666666"/>
        </w:rPr>
        <w:t xml:space="preserve">The proof points are verified, not asserted: 85% of voicemail-bound callers never call back (BIA/Kelsey); 78% hire the first responder (Lead Connect/MIT); responding within five minutes makes a contractor 21 times more likely to qualify a lead (Harvard Business Review); 60% of after-hours HVAC calls go unanswered (ServiceTitan); 37% of one-star reviews specifically cite a missed call (SwingPoint).</w:t>
      </w:r>
    </w:p>
    <w:p>
      <w:pPr>
        <w:spacing w:after="200"/>
      </w:pPr>
      <w:r>
        <w:rPr>
          <w:color w:val="666666"/>
        </w:rPr>
        <w:t xml:space="preserve">Objections are met with empathy, then reframed: “Websites are expensive” → “that’s why the site is free, you’re paying the staff that makes it produce.” “I get all my work from referrals” → “about half of them call a competitor when they Google you and find nothing, we catch the other half.” “I don’t have time” → “you’ll never touch it; that’s the point of hiring staff instead of buying software.”</w:t>
      </w:r>
    </w:p>
    <w:p>
      <w:pPr>
        <w:pStyle w:val="Heading1"/>
        <w:spacing w:after="240" w:before="400"/>
      </w:pPr>
      <w:r>
        <w:rPr>
          <w:color w:val="666666"/>
        </w:rPr>
        <w:t xml:space="preserve">Business Model &amp; Unit Economics</w:t>
      </w:r>
    </w:p>
    <w:p>
      <w:pPr>
        <w:spacing w:after="200"/>
      </w:pP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gives away the asset that costs almost nothing to produce, an AI-built website, and charges recurring revenue for the AI staff that makes it produce. Because delivery is automated, the website is a customer-acquisition cost, not a product, and 100% of revenue is recurring by design.</w:t>
      </w:r>
    </w:p>
    <w:p>
      <w:pPr>
        <w:spacing w:after="200"/>
      </w:pPr>
      <w:r>
        <w:rPr>
          <w:b/>
          <w:bCs/>
          <w:color w:val="666666"/>
        </w:rPr>
        <w:t xml:space="preserve">Revenue. </w:t>
      </w:r>
      <w:r>
        <w:rPr>
          <w:color w:val="666666"/>
        </w:rPr>
        <w:t xml:space="preserve">Office Staff at $497 per month is the primary acquisition tier and where founders spend acquisition effort and capital. Business Manager at $2,497 per month is an upgrade sold to an existing Office Staff customer, not separately acquired, and extends lifetime value per account rather than adding new CAC.</w:t>
      </w:r>
    </w:p>
    <w:p>
      <w:pPr>
        <w:spacing w:after="200"/>
      </w:pPr>
      <w:r>
        <w:rPr>
          <w:b/>
          <w:bCs/>
          <w:color w:val="666666"/>
        </w:rPr>
        <w:t xml:space="preserve">Margin. </w:t>
      </w:r>
      <w:r>
        <w:rPr>
          <w:color w:val="666666"/>
        </w:rPr>
        <w:t xml:space="preserve">Delivery cost, dominated by voice-AI minutes (Grok inference, Retell voice infrastructure), integrations, and operational overhead, runs approximately $65 per customer per month on Office Staff and $349 per month on Business Manager, yielding gross margins of approximately 87% and 86% respectively. The voice line scales with call volume, so usage is metered per account from the first customer.</w:t>
      </w:r>
    </w:p>
    <w:p>
      <w:pPr>
        <w:spacing w:after="200"/>
      </w:pPr>
      <w:r>
        <w:rPr>
          <w:b/>
          <w:bCs/>
          <w:color w:val="666666"/>
        </w:rPr>
        <w:t xml:space="preserve">Lifetime value. </w:t>
      </w:r>
      <w:r>
        <w:rPr>
          <w:color w:val="666666"/>
        </w:rPr>
        <w:t xml:space="preserve">At an average customer lifetime of 16.7 months and a 6% monthly churn rate, lifetime value on the Office Staff tier runs approximately $7,200. Structured onboarding at day 1, day 7, and day 30 tracks early engagement, with early call activation as the leading indicator of retention.</w:t>
      </w:r>
    </w:p>
    <w:p>
      <w:pPr>
        <w:spacing w:after="200"/>
      </w:pPr>
      <w:r>
        <w:rPr>
          <w:b/>
          <w:bCs/>
          <w:color w:val="666666"/>
        </w:rPr>
        <w:t xml:space="preserve">Acquisition and payback. </w:t>
      </w:r>
      <w:r>
        <w:rPr>
          <w:color w:val="666666"/>
        </w:rPr>
        <w:t xml:space="preserve">Organic customer-acquisition cost, founder-led plus referrals, runs $100 to $200 per paying customer, defensible because the free-website funnel converts warmer leads (existing ServiceTitan/Jobber users) at lower cost. On that basis, payback is under one month, a 36x to 72x LTV:CAC ratio. Paid acquisition is not yet active and is gated on real conversion data from the first 50 free builds; it is modeled conservatively higher, likely $200 to $400, once it starts.</w:t>
      </w:r>
    </w:p>
    <w:p>
      <w:pPr>
        <w:pStyle w:val="Heading1"/>
        <w:spacing w:after="240" w:before="400"/>
      </w:pPr>
      <w:r>
        <w:rPr>
          <w:color w:val="666666"/>
        </w:rPr>
        <w:t xml:space="preserve">Go-to-Market</w:t>
      </w:r>
    </w:p>
    <w:p>
      <w:pPr>
        <w:spacing w:after="200"/>
      </w:pP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acquires customers through two automated channels, deliberately diversified so the business never depends on a single source.</w:t>
      </w:r>
    </w:p>
    <w:p>
      <w:pPr>
        <w:spacing w:after="200"/>
      </w:pPr>
      <w:r>
        <w:rPr>
          <w:b/>
          <w:bCs/>
          <w:color w:val="666666"/>
        </w:rPr>
        <w:t xml:space="preserve">Channel one, the automated funnel. </w:t>
      </w:r>
      <w:r>
        <w:rPr>
          <w:color w:val="666666"/>
        </w:rPr>
        <w:t xml:space="preserve">A Meta ad drives a contractor to webstaffr.com, where the lead is captured and an AI sequence gathers the information needed to build the site. On completion, the system builds the website automatically, reveals it, converts the contractor to a paid subscription, and drives expansion, all without human involvement. The decisive metric across this funnel is the free-site-to-paid conversion rate; marketing spend is gated on it clearing a pre-set bar.</w:t>
      </w:r>
    </w:p>
    <w:p>
      <w:pPr>
        <w:spacing w:after="200"/>
      </w:pPr>
      <w:r>
        <w:rPr>
          <w:color w:val="666666"/>
        </w:rPr>
        <w:t xml:space="preserve">A nuance most plans get wrong: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’s own acquisition cost is a business-owner lead claiming a free website, not the homeowner lead the contractor pays for. The widely-cited HVAC lead costs of $90 to $115 are the homeowner’s price, a selling point, not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’s cost.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’s lead is modeled in the $15 to $60 range and refined with live data.</w:t>
      </w:r>
    </w:p>
    <w:p>
      <w:pPr>
        <w:spacing w:after="200"/>
      </w:pPr>
      <w:r>
        <w:rPr>
          <w:b/>
          <w:bCs/>
          <w:color w:val="666666"/>
        </w:rPr>
        <w:t xml:space="preserve">Channel two, no-website outbound. </w:t>
      </w:r>
      <w:r>
        <w:rPr>
          <w:color w:val="666666"/>
        </w:rPr>
        <w:t xml:space="preserve">A Google Maps data pull identifies HVAC businesses without a website, the highest-intent filter that exists for a free-website offer, since those businesses have self-selected into the need. The motion runs email-first and consent-before-text by deliberate design: cold-texting scraped mobile numbers carries TCPA exposure of $500 to $1,500 per message with no minimum volume, and B2B is not exempt. Cold email under CAN-SPAM is materially lower risk and is the primary outbound channel; SMS and voice follow only after opt-in, with DNC scrubbing and 10DLC registration in place.</w:t>
      </w:r>
    </w:p>
    <w:p>
      <w:pPr>
        <w:spacing w:after="200"/>
      </w:pPr>
      <w:r>
        <w:rPr>
          <w:color w:val="666666"/>
        </w:rPr>
        <w:t xml:space="preserve">A human or AI-voice closer is positioned at the single highest-leverage moment, the free-site reveal, where even a small lift in conversion roughly halves acquisition cost.</w:t>
      </w:r>
    </w:p>
    <w:p>
      <w:pPr>
        <w:spacing w:after="200"/>
      </w:pPr>
      <w:r>
        <w:rPr>
          <w:i/>
          <w:iCs/>
          <w:color w:val="666666"/>
        </w:rPr>
        <w:t xml:space="preserve">Sources: WordStream/LocaliQ, Ryze (2026) on Meta benchmarks; ActiveProspect, messageiq.io (2026) on TCPA.</w:t>
      </w:r>
    </w:p>
    <w:p>
      <w:pPr>
        <w:pStyle w:val="Heading1"/>
        <w:spacing w:after="240" w:before="400"/>
      </w:pPr>
      <w:r>
        <w:rPr>
          <w:color w:val="666666"/>
        </w:rPr>
        <w:t xml:space="preserve">Financial Model</w:t>
      </w:r>
    </w:p>
    <w:p>
      <w:pPr>
        <w:spacing w:after="200"/>
      </w:pPr>
      <w:r>
        <w:rPr>
          <w:color w:val="666666"/>
        </w:rPr>
        <w:t xml:space="preserve">The model is delivered as a companion spreadsheet with editable assumptions and a one-click scenario switch.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is pre-launch and has no operating history, so all forward figures are modeled estimates rather than results.</w:t>
      </w:r>
    </w:p>
    <w:p>
      <w:pPr>
        <w:spacing w:after="200"/>
      </w:pPr>
      <w:r>
        <w:rPr>
          <w:b/>
          <w:bCs/>
          <w:color w:val="666666"/>
        </w:rPr>
        <w:t xml:space="preserve">Unit economics. </w:t>
      </w:r>
      <w:r>
        <w:rPr>
          <w:color w:val="666666"/>
        </w:rPr>
        <w:t xml:space="preserve">Office Staff ARPU $497/month at approximately 87% gross margin; Business Manager ARPU $2,497/month at approximately 86% gross margin; modeled lifetime value approximately $7,200 at 6% monthly churn and a 16.7-month average customer lifetime; organic acquisition payback under one month; revenue 100% recurring by design.</w:t>
      </w:r>
    </w:p>
    <w:p>
      <w:pPr>
        <w:spacing w:after="200"/>
      </w:pPr>
      <w:r>
        <w:rPr>
          <w:b/>
          <w:bCs/>
          <w:color w:val="666666"/>
        </w:rPr>
        <w:t xml:space="preserve">Model assumptions: </w:t>
      </w:r>
      <w:r>
        <w:rPr>
          <w:color w:val="666666"/>
        </w:rPr>
        <w:t xml:space="preserve">100 free 30-day Office Staff trials in month one, 50 per month thereafter; 10% free-to-paid conversion (conservative, real rate may be higher); 6% monthly churn; $150 modeled CAC per paid customer (conservative, above the $100-200 current organic rate); $3,000/month fixed costs; $25,000 starting capital.</w:t>
      </w:r>
    </w:p>
    <w:p>
      <w:pPr>
        <w:spacing w:after="200"/>
      </w:pPr>
      <w:r>
        <w:rPr>
          <w:b/>
          <w:bCs/>
          <w:color w:val="666666"/>
        </w:rPr>
        <w:t xml:space="preserve">Phoenix HVAC scenario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000"/>
        <w:gridCol w:w="1900"/>
        <w:gridCol w:w="1900"/>
        <w:gridCol w:w="2260"/>
      </w:tblGrid>
      <w:tr>
        <w:trPr>
          <w:tblHeader/>
        </w:trPr>
        <w:tc>
          <w:tcPr>
            <w:tcW w:type="dxa" w:w="2900"/>
            <w:shd w:fill="D9D9D9" w:color="auto" w:val="clear"/>
            <w:tcMar>
              <w:top w:type="dxa" w:w="80"/>
              <w:left w:type="dxa" w:w="100"/>
              <w:bottom w:type="dxa" w:w="80"/>
              <w:right w:type="dxa" w:w="100"/>
            </w:tcMar>
            <w:vAlign w:val="center"/>
          </w:tcPr>
          <w:p>
            <w:r>
              <w:rPr>
                <w:b/>
                <w:bCs/>
                <w:color w:val="666666"/>
                <w:sz w:val="20"/>
                <w:szCs w:val="20"/>
              </w:rPr>
              <w:t xml:space="preserve">Scenario</w:t>
            </w:r>
          </w:p>
        </w:tc>
        <w:tc>
          <w:tcPr>
            <w:tcW w:type="dxa" w:w="2000"/>
            <w:shd w:fill="D9D9D9" w:color="auto" w:val="clear"/>
            <w:tcMar>
              <w:top w:type="dxa" w:w="80"/>
              <w:left w:type="dxa" w:w="100"/>
              <w:bottom w:type="dxa" w:w="80"/>
              <w:right w:type="dxa" w:w="100"/>
            </w:tcMar>
            <w:vAlign w:val="center"/>
          </w:tcPr>
          <w:p>
            <w:r>
              <w:rPr>
                <w:b/>
                <w:bCs/>
                <w:color w:val="666666"/>
                <w:sz w:val="20"/>
                <w:szCs w:val="20"/>
              </w:rPr>
              <w:t xml:space="preserve">Customers, Year 1</w:t>
            </w:r>
          </w:p>
        </w:tc>
        <w:tc>
          <w:tcPr>
            <w:tcW w:type="dxa" w:w="1900"/>
            <w:shd w:fill="D9D9D9" w:color="auto" w:val="clear"/>
            <w:tcMar>
              <w:top w:type="dxa" w:w="80"/>
              <w:left w:type="dxa" w:w="100"/>
              <w:bottom w:type="dxa" w:w="80"/>
              <w:right w:type="dxa" w:w="100"/>
            </w:tcMar>
            <w:vAlign w:val="center"/>
          </w:tcPr>
          <w:p>
            <w:r>
              <w:rPr>
                <w:b/>
                <w:bCs/>
                <w:color w:val="666666"/>
                <w:sz w:val="20"/>
                <w:szCs w:val="20"/>
              </w:rPr>
              <w:t xml:space="preserve">ARR, Year 1</w:t>
            </w:r>
          </w:p>
        </w:tc>
        <w:tc>
          <w:tcPr>
            <w:tcW w:type="dxa" w:w="1900"/>
            <w:shd w:fill="D9D9D9" w:color="auto" w:val="clear"/>
            <w:tcMar>
              <w:top w:type="dxa" w:w="80"/>
              <w:left w:type="dxa" w:w="100"/>
              <w:bottom w:type="dxa" w:w="80"/>
              <w:right w:type="dxa" w:w="100"/>
            </w:tcMar>
            <w:vAlign w:val="center"/>
          </w:tcPr>
          <w:p>
            <w:r>
              <w:rPr>
                <w:b/>
                <w:bCs/>
                <w:color w:val="666666"/>
                <w:sz w:val="20"/>
                <w:szCs w:val="20"/>
              </w:rPr>
              <w:t xml:space="preserve">Cumulative cash, Year 1</w:t>
            </w:r>
          </w:p>
        </w:tc>
        <w:tc>
          <w:tcPr>
            <w:tcW w:type="dxa" w:w="2260"/>
            <w:shd w:fill="D9D9D9" w:color="auto" w:val="clear"/>
            <w:tcMar>
              <w:top w:type="dxa" w:w="80"/>
              <w:left w:type="dxa" w:w="100"/>
              <w:bottom w:type="dxa" w:w="80"/>
              <w:right w:type="dxa" w:w="100"/>
            </w:tcMar>
            <w:vAlign w:val="center"/>
          </w:tcPr>
          <w:p>
            <w:r>
              <w:rPr>
                <w:b/>
                <w:bCs/>
                <w:color w:val="666666"/>
                <w:sz w:val="20"/>
                <w:szCs w:val="20"/>
              </w:rPr>
              <w:t xml:space="preserve">Cash-flow positive</w:t>
            </w:r>
          </w:p>
        </w:tc>
      </w:tr>
      <w:tr>
        <w:tc>
          <w:tcPr>
            <w:tcW w:type="dxa" w:w="2900"/>
            <w:tcMar>
              <w:top w:type="dxa" w:w="80"/>
              <w:left w:type="dxa" w:w="100"/>
              <w:bottom w:type="dxa" w:w="80"/>
              <w:right w:type="dxa" w:w="100"/>
            </w:tcMar>
            <w:vAlign w:val="center"/>
          </w:tcPr>
          <w:p>
            <w:r>
              <w:rPr>
                <w:b w:val="false"/>
                <w:bCs w:val="false"/>
                <w:color w:val="666666"/>
                <w:sz w:val="20"/>
                <w:szCs w:val="20"/>
              </w:rPr>
              <w:t xml:space="preserve">Downside (5% conversion)</w:t>
            </w:r>
          </w:p>
        </w:tc>
        <w:tc>
          <w:tcPr>
            <w:tcW w:type="dxa" w:w="2000"/>
            <w:tcMar>
              <w:top w:type="dxa" w:w="80"/>
              <w:left w:type="dxa" w:w="100"/>
              <w:bottom w:type="dxa" w:w="80"/>
              <w:right w:type="dxa" w:w="100"/>
            </w:tcMar>
            <w:vAlign w:val="center"/>
          </w:tcPr>
          <w:p>
            <w:r>
              <w:rPr>
                <w:b w:val="false"/>
                <w:bCs w:val="false"/>
                <w:color w:val="666666"/>
                <w:sz w:val="20"/>
                <w:szCs w:val="20"/>
              </w:rPr>
              <w:t xml:space="preserve">~22</w:t>
            </w:r>
          </w:p>
        </w:tc>
        <w:tc>
          <w:tcPr>
            <w:tcW w:type="dxa" w:w="1900"/>
            <w:tcMar>
              <w:top w:type="dxa" w:w="80"/>
              <w:left w:type="dxa" w:w="100"/>
              <w:bottom w:type="dxa" w:w="80"/>
              <w:right w:type="dxa" w:w="100"/>
            </w:tcMar>
            <w:vAlign w:val="center"/>
          </w:tcPr>
          <w:p>
            <w:r>
              <w:rPr>
                <w:b w:val="false"/>
                <w:bCs w:val="false"/>
                <w:color w:val="666666"/>
                <w:sz w:val="20"/>
                <w:szCs w:val="20"/>
              </w:rPr>
              <w:t xml:space="preserve">~$131K</w:t>
            </w:r>
          </w:p>
        </w:tc>
        <w:tc>
          <w:tcPr>
            <w:tcW w:type="dxa" w:w="1900"/>
            <w:tcMar>
              <w:top w:type="dxa" w:w="80"/>
              <w:left w:type="dxa" w:w="100"/>
              <w:bottom w:type="dxa" w:w="80"/>
              <w:right w:type="dxa" w:w="100"/>
            </w:tcMar>
            <w:vAlign w:val="center"/>
          </w:tcPr>
          <w:p>
            <w:r>
              <w:rPr>
                <w:b w:val="false"/>
                <w:bCs w:val="false"/>
                <w:color w:val="666666"/>
                <w:sz w:val="20"/>
                <w:szCs w:val="20"/>
              </w:rPr>
              <w:t xml:space="preserve">~$52K</w:t>
            </w:r>
          </w:p>
        </w:tc>
        <w:tc>
          <w:tcPr>
            <w:tcW w:type="dxa" w:w="2260"/>
            <w:tcMar>
              <w:top w:type="dxa" w:w="80"/>
              <w:left w:type="dxa" w:w="100"/>
              <w:bottom w:type="dxa" w:w="80"/>
              <w:right w:type="dxa" w:w="100"/>
            </w:tcMar>
            <w:vAlign w:val="center"/>
          </w:tcPr>
          <w:p>
            <w:r>
              <w:rPr>
                <w:b w:val="false"/>
                <w:bCs w:val="false"/>
                <w:color w:val="666666"/>
                <w:sz w:val="20"/>
                <w:szCs w:val="20"/>
              </w:rPr>
              <w:t xml:space="preserve">Yes, if CAC holds at $100-200</w:t>
            </w:r>
          </w:p>
        </w:tc>
      </w:tr>
      <w:tr>
        <w:tc>
          <w:tcPr>
            <w:tcW w:type="dxa" w:w="2900"/>
            <w:tcMar>
              <w:top w:type="dxa" w:w="80"/>
              <w:left w:type="dxa" w:w="100"/>
              <w:bottom w:type="dxa" w:w="80"/>
              <w:right w:type="dxa" w:w="100"/>
            </w:tcMar>
            <w:vAlign w:val="center"/>
          </w:tcPr>
          <w:p>
            <w:r>
              <w:rPr>
                <w:b w:val="false"/>
                <w:bCs w:val="false"/>
                <w:color w:val="666666"/>
                <w:sz w:val="20"/>
                <w:szCs w:val="20"/>
              </w:rPr>
              <w:t xml:space="preserve">Base case (10% conversion)</w:t>
            </w:r>
          </w:p>
        </w:tc>
        <w:tc>
          <w:tcPr>
            <w:tcW w:type="dxa" w:w="2000"/>
            <w:tcMar>
              <w:top w:type="dxa" w:w="80"/>
              <w:left w:type="dxa" w:w="100"/>
              <w:bottom w:type="dxa" w:w="80"/>
              <w:right w:type="dxa" w:w="100"/>
            </w:tcMar>
            <w:vAlign w:val="center"/>
          </w:tcPr>
          <w:p>
            <w:r>
              <w:rPr>
                <w:b w:val="false"/>
                <w:bCs w:val="false"/>
                <w:color w:val="666666"/>
                <w:sz w:val="20"/>
                <w:szCs w:val="20"/>
              </w:rPr>
              <w:t xml:space="preserve">~44</w:t>
            </w:r>
          </w:p>
        </w:tc>
        <w:tc>
          <w:tcPr>
            <w:tcW w:type="dxa" w:w="1900"/>
            <w:tcMar>
              <w:top w:type="dxa" w:w="80"/>
              <w:left w:type="dxa" w:w="100"/>
              <w:bottom w:type="dxa" w:w="80"/>
              <w:right w:type="dxa" w:w="100"/>
            </w:tcMar>
            <w:vAlign w:val="center"/>
          </w:tcPr>
          <w:p>
            <w:r>
              <w:rPr>
                <w:b w:val="false"/>
                <w:bCs w:val="false"/>
                <w:color w:val="666666"/>
                <w:sz w:val="20"/>
                <w:szCs w:val="20"/>
              </w:rPr>
              <w:t xml:space="preserve">~$261K</w:t>
            </w:r>
          </w:p>
        </w:tc>
        <w:tc>
          <w:tcPr>
            <w:tcW w:type="dxa" w:w="1900"/>
            <w:tcMar>
              <w:top w:type="dxa" w:w="80"/>
              <w:left w:type="dxa" w:w="100"/>
              <w:bottom w:type="dxa" w:w="80"/>
              <w:right w:type="dxa" w:w="100"/>
            </w:tcMar>
            <w:vAlign w:val="center"/>
          </w:tcPr>
          <w:p>
            <w:r>
              <w:rPr>
                <w:b w:val="false"/>
                <w:bCs w:val="false"/>
                <w:color w:val="666666"/>
                <w:sz w:val="20"/>
                <w:szCs w:val="20"/>
              </w:rPr>
              <w:t xml:space="preserve">~$115K</w:t>
            </w:r>
          </w:p>
        </w:tc>
        <w:tc>
          <w:tcPr>
            <w:tcW w:type="dxa" w:w="2260"/>
            <w:tcMar>
              <w:top w:type="dxa" w:w="80"/>
              <w:left w:type="dxa" w:w="100"/>
              <w:bottom w:type="dxa" w:w="80"/>
              <w:right w:type="dxa" w:w="100"/>
            </w:tcMar>
            <w:vAlign w:val="center"/>
          </w:tcPr>
          <w:p>
            <w:r>
              <w:rPr>
                <w:b w:val="false"/>
                <w:bCs w:val="false"/>
                <w:color w:val="666666"/>
                <w:sz w:val="20"/>
                <w:szCs w:val="20"/>
              </w:rPr>
              <w:t xml:space="preserve">Month 3</w:t>
            </w:r>
          </w:p>
        </w:tc>
      </w:tr>
    </w:tbl>
    <w:p>
      <w:pPr>
        <w:spacing w:after="200" w:before="160"/>
      </w:pPr>
      <w:r>
        <w:rPr>
          <w:color w:val="666666"/>
        </w:rPr>
        <w:t xml:space="preserve">Year Two, with Tampa launching in month thirteen alongside Phoenix, reaches approximately 108 customers and $646,000 in ARR at roughly $489,000 in cumulative cash. The headline is not the upside; it is that even the downside case is cash-flow-positive provided organic CAC holds. One trade in one metro generates enough gross profit to self-fund the next.</w:t>
      </w:r>
    </w:p>
    <w:p>
      <w:pPr>
        <w:spacing w:after="200"/>
      </w:pPr>
      <w:r>
        <w:rPr>
          <w:b/>
          <w:bCs/>
          <w:color w:val="666666"/>
        </w:rPr>
        <w:t xml:space="preserve">Traction milestones, each gates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tblHeader/>
        </w:trPr>
        <w:tc>
          <w:tcPr>
            <w:tcW w:type="dxa" w:w="3120"/>
            <w:shd w:fill="D9D9D9" w:color="auto" w:val="clear"/>
            <w:tcMar>
              <w:top w:type="dxa" w:w="80"/>
              <w:left w:type="dxa" w:w="100"/>
              <w:bottom w:type="dxa" w:w="80"/>
              <w:right w:type="dxa" w:w="100"/>
            </w:tcMar>
            <w:vAlign w:val="center"/>
          </w:tcPr>
          <w:p>
            <w:r>
              <w:rPr>
                <w:b/>
                <w:bCs/>
                <w:color w:val="666666"/>
                <w:sz w:val="20"/>
                <w:szCs w:val="20"/>
              </w:rPr>
              <w:t xml:space="preserve">Milestone</w:t>
            </w:r>
          </w:p>
        </w:tc>
        <w:tc>
          <w:tcPr>
            <w:tcW w:type="dxa" w:w="3120"/>
            <w:shd w:fill="D9D9D9" w:color="auto" w:val="clear"/>
            <w:tcMar>
              <w:top w:type="dxa" w:w="80"/>
              <w:left w:type="dxa" w:w="100"/>
              <w:bottom w:type="dxa" w:w="80"/>
              <w:right w:type="dxa" w:w="100"/>
            </w:tcMar>
            <w:vAlign w:val="center"/>
          </w:tcPr>
          <w:p>
            <w:r>
              <w:rPr>
                <w:b/>
                <w:bCs/>
                <w:color w:val="666666"/>
                <w:sz w:val="20"/>
                <w:szCs w:val="20"/>
              </w:rPr>
              <w:t xml:space="preserve">Success metric</w:t>
            </w:r>
          </w:p>
        </w:tc>
        <w:tc>
          <w:tcPr>
            <w:tcW w:type="dxa" w:w="3120"/>
            <w:shd w:fill="D9D9D9" w:color="auto" w:val="clear"/>
            <w:tcMar>
              <w:top w:type="dxa" w:w="80"/>
              <w:left w:type="dxa" w:w="100"/>
              <w:bottom w:type="dxa" w:w="80"/>
              <w:right w:type="dxa" w:w="100"/>
            </w:tcMar>
            <w:vAlign w:val="center"/>
          </w:tcPr>
          <w:p>
            <w:r>
              <w:rPr>
                <w:b/>
                <w:bCs/>
                <w:color w:val="666666"/>
                <w:sz w:val="20"/>
                <w:szCs w:val="20"/>
              </w:rPr>
              <w:t xml:space="preserve">What it proves</w:t>
            </w:r>
          </w:p>
        </w:tc>
      </w:tr>
      <w:tr>
        <w:tc>
          <w:tcPr>
            <w:tcW w:type="dxa" w:w="3120"/>
            <w:tcMar>
              <w:top w:type="dxa" w:w="80"/>
              <w:left w:type="dxa" w:w="100"/>
              <w:bottom w:type="dxa" w:w="80"/>
              <w:right w:type="dxa" w:w="100"/>
            </w:tcMar>
            <w:vAlign w:val="center"/>
          </w:tcPr>
          <w:p>
            <w:r>
              <w:rPr>
                <w:b w:val="false"/>
                <w:bCs w:val="false"/>
                <w:color w:val="666666"/>
                <w:sz w:val="20"/>
                <w:szCs w:val="20"/>
              </w:rPr>
              <w:t xml:space="preserve">First 10 sites delivered</w:t>
            </w:r>
          </w:p>
        </w:tc>
        <w:tc>
          <w:tcPr>
            <w:tcW w:type="dxa" w:w="3120"/>
            <w:tcMar>
              <w:top w:type="dxa" w:w="80"/>
              <w:left w:type="dxa" w:w="100"/>
              <w:bottom w:type="dxa" w:w="80"/>
              <w:right w:type="dxa" w:w="100"/>
            </w:tcMar>
            <w:vAlign w:val="center"/>
          </w:tcPr>
          <w:p>
            <w:r>
              <w:rPr>
                <w:b w:val="false"/>
                <w:bCs w:val="false"/>
                <w:color w:val="666666"/>
                <w:sz w:val="20"/>
                <w:szCs w:val="20"/>
              </w:rPr>
              <w:t xml:space="preserve">Delivery under 15 minutes</w:t>
            </w:r>
          </w:p>
        </w:tc>
        <w:tc>
          <w:tcPr>
            <w:tcW w:type="dxa" w:w="3120"/>
            <w:tcMar>
              <w:top w:type="dxa" w:w="80"/>
              <w:left w:type="dxa" w:w="100"/>
              <w:bottom w:type="dxa" w:w="80"/>
              <w:right w:type="dxa" w:w="100"/>
            </w:tcMar>
            <w:vAlign w:val="center"/>
          </w:tcPr>
          <w:p>
            <w:r>
              <w:rPr>
                <w:b w:val="false"/>
                <w:bCs w:val="false"/>
                <w:color w:val="666666"/>
                <w:sz w:val="20"/>
                <w:szCs w:val="20"/>
              </w:rPr>
              <w:t xml:space="preserve">Automation works end-to-end</w:t>
            </w:r>
          </w:p>
        </w:tc>
      </w:tr>
      <w:tr>
        <w:tc>
          <w:tcPr>
            <w:tcW w:type="dxa" w:w="3120"/>
            <w:tcMar>
              <w:top w:type="dxa" w:w="80"/>
              <w:left w:type="dxa" w:w="100"/>
              <w:bottom w:type="dxa" w:w="80"/>
              <w:right w:type="dxa" w:w="100"/>
            </w:tcMar>
            <w:vAlign w:val="center"/>
          </w:tcPr>
          <w:p>
            <w:r>
              <w:rPr>
                <w:b w:val="false"/>
                <w:bCs w:val="false"/>
                <w:color w:val="666666"/>
                <w:sz w:val="20"/>
                <w:szCs w:val="20"/>
              </w:rPr>
              <w:t xml:space="preserve">First 25 customers</w:t>
            </w:r>
          </w:p>
        </w:tc>
        <w:tc>
          <w:tcPr>
            <w:tcW w:type="dxa" w:w="3120"/>
            <w:tcMar>
              <w:top w:type="dxa" w:w="80"/>
              <w:left w:type="dxa" w:w="100"/>
              <w:bottom w:type="dxa" w:w="80"/>
              <w:right w:type="dxa" w:w="100"/>
            </w:tcMar>
            <w:vAlign w:val="center"/>
          </w:tcPr>
          <w:p>
            <w:r>
              <w:rPr>
                <w:b w:val="false"/>
                <w:bCs w:val="false"/>
                <w:color w:val="666666"/>
                <w:sz w:val="20"/>
                <w:szCs w:val="20"/>
              </w:rPr>
              <w:t xml:space="preserve">Onboarding completion rate</w:t>
            </w:r>
          </w:p>
        </w:tc>
        <w:tc>
          <w:tcPr>
            <w:tcW w:type="dxa" w:w="3120"/>
            <w:tcMar>
              <w:top w:type="dxa" w:w="80"/>
              <w:left w:type="dxa" w:w="100"/>
              <w:bottom w:type="dxa" w:w="80"/>
              <w:right w:type="dxa" w:w="100"/>
            </w:tcMar>
            <w:vAlign w:val="center"/>
          </w:tcPr>
          <w:p>
            <w:r>
              <w:rPr>
                <w:b w:val="false"/>
                <w:bCs w:val="false"/>
                <w:color w:val="666666"/>
                <w:sz w:val="20"/>
                <w:szCs w:val="20"/>
              </w:rPr>
              <w:t xml:space="preserve">The funnel converts at scale</w:t>
            </w:r>
          </w:p>
        </w:tc>
      </w:tr>
      <w:tr>
        <w:tc>
          <w:tcPr>
            <w:tcW w:type="dxa" w:w="3120"/>
            <w:tcMar>
              <w:top w:type="dxa" w:w="80"/>
              <w:left w:type="dxa" w:w="100"/>
              <w:bottom w:type="dxa" w:w="80"/>
              <w:right w:type="dxa" w:w="100"/>
            </w:tcMar>
            <w:vAlign w:val="center"/>
          </w:tcPr>
          <w:p>
            <w:r>
              <w:rPr>
                <w:b w:val="false"/>
                <w:bCs w:val="false"/>
                <w:color w:val="666666"/>
                <w:sz w:val="20"/>
                <w:szCs w:val="20"/>
              </w:rPr>
              <w:t xml:space="preserve">First 50 free builds</w:t>
            </w:r>
          </w:p>
        </w:tc>
        <w:tc>
          <w:tcPr>
            <w:tcW w:type="dxa" w:w="3120"/>
            <w:tcMar>
              <w:top w:type="dxa" w:w="80"/>
              <w:left w:type="dxa" w:w="100"/>
              <w:bottom w:type="dxa" w:w="80"/>
              <w:right w:type="dxa" w:w="100"/>
            </w:tcMar>
            <w:vAlign w:val="center"/>
          </w:tcPr>
          <w:p>
            <w:r>
              <w:rPr>
                <w:b w:val="false"/>
                <w:bCs w:val="false"/>
                <w:color w:val="666666"/>
                <w:sz w:val="20"/>
                <w:szCs w:val="20"/>
              </w:rPr>
              <w:t xml:space="preserve">Free-to-paid at 10%+</w:t>
            </w:r>
          </w:p>
        </w:tc>
        <w:tc>
          <w:tcPr>
            <w:tcW w:type="dxa" w:w="3120"/>
            <w:tcMar>
              <w:top w:type="dxa" w:w="80"/>
              <w:left w:type="dxa" w:w="100"/>
              <w:bottom w:type="dxa" w:w="80"/>
              <w:right w:type="dxa" w:w="100"/>
            </w:tcMar>
            <w:vAlign w:val="center"/>
          </w:tcPr>
          <w:p>
            <w:r>
              <w:rPr>
                <w:b w:val="false"/>
                <w:bCs w:val="false"/>
                <w:color w:val="666666"/>
                <w:sz w:val="20"/>
                <w:szCs w:val="20"/>
              </w:rPr>
              <w:t xml:space="preserve">The load-bearing assumption</w:t>
            </w:r>
          </w:p>
        </w:tc>
      </w:tr>
      <w:tr>
        <w:tc>
          <w:tcPr>
            <w:tcW w:type="dxa" w:w="3120"/>
            <w:tcMar>
              <w:top w:type="dxa" w:w="80"/>
              <w:left w:type="dxa" w:w="100"/>
              <w:bottom w:type="dxa" w:w="80"/>
              <w:right w:type="dxa" w:w="100"/>
            </w:tcMar>
            <w:vAlign w:val="center"/>
          </w:tcPr>
          <w:p>
            <w:r>
              <w:rPr>
                <w:b w:val="false"/>
                <w:bCs w:val="false"/>
                <w:color w:val="666666"/>
                <w:sz w:val="20"/>
                <w:szCs w:val="20"/>
              </w:rPr>
              <w:t xml:space="preserve">First 100 customers</w:t>
            </w:r>
          </w:p>
        </w:tc>
        <w:tc>
          <w:tcPr>
            <w:tcW w:type="dxa" w:w="3120"/>
            <w:tcMar>
              <w:top w:type="dxa" w:w="80"/>
              <w:left w:type="dxa" w:w="100"/>
              <w:bottom w:type="dxa" w:w="80"/>
              <w:right w:type="dxa" w:w="100"/>
            </w:tcMar>
            <w:vAlign w:val="center"/>
          </w:tcPr>
          <w:p>
            <w:r>
              <w:rPr>
                <w:b w:val="false"/>
                <w:bCs w:val="false"/>
                <w:color w:val="666666"/>
                <w:sz w:val="20"/>
                <w:szCs w:val="20"/>
              </w:rPr>
              <w:t xml:space="preserve">Churn below 6% monthly</w:t>
            </w:r>
          </w:p>
        </w:tc>
        <w:tc>
          <w:tcPr>
            <w:tcW w:type="dxa" w:w="3120"/>
            <w:tcMar>
              <w:top w:type="dxa" w:w="80"/>
              <w:left w:type="dxa" w:w="100"/>
              <w:bottom w:type="dxa" w:w="80"/>
              <w:right w:type="dxa" w:w="100"/>
            </w:tcMar>
            <w:vAlign w:val="center"/>
          </w:tcPr>
          <w:p>
            <w:r>
              <w:rPr>
                <w:b w:val="false"/>
                <w:bCs w:val="false"/>
                <w:color w:val="666666"/>
                <w:sz w:val="20"/>
                <w:szCs w:val="20"/>
              </w:rPr>
              <w:t xml:space="preserve">The retention model holds</w:t>
            </w:r>
          </w:p>
        </w:tc>
      </w:tr>
      <w:tr>
        <w:tc>
          <w:tcPr>
            <w:tcW w:type="dxa" w:w="3120"/>
            <w:tcMar>
              <w:top w:type="dxa" w:w="80"/>
              <w:left w:type="dxa" w:w="100"/>
              <w:bottom w:type="dxa" w:w="80"/>
              <w:right w:type="dxa" w:w="100"/>
            </w:tcMar>
            <w:vAlign w:val="center"/>
          </w:tcPr>
          <w:p>
            <w:r>
              <w:rPr>
                <w:b w:val="false"/>
                <w:bCs w:val="false"/>
                <w:color w:val="666666"/>
                <w:sz w:val="20"/>
                <w:szCs w:val="20"/>
              </w:rPr>
              <w:t xml:space="preserve">Metro two launched</w:t>
            </w:r>
          </w:p>
        </w:tc>
        <w:tc>
          <w:tcPr>
            <w:tcW w:type="dxa" w:w="3120"/>
            <w:tcMar>
              <w:top w:type="dxa" w:w="80"/>
              <w:left w:type="dxa" w:w="100"/>
              <w:bottom w:type="dxa" w:w="80"/>
              <w:right w:type="dxa" w:w="100"/>
            </w:tcMar>
            <w:vAlign w:val="center"/>
          </w:tcPr>
          <w:p>
            <w:r>
              <w:rPr>
                <w:b w:val="false"/>
                <w:bCs w:val="false"/>
                <w:color w:val="666666"/>
                <w:sz w:val="20"/>
                <w:szCs w:val="20"/>
              </w:rPr>
              <w:t xml:space="preserve">Comparable conversion rate</w:t>
            </w:r>
          </w:p>
        </w:tc>
        <w:tc>
          <w:tcPr>
            <w:tcW w:type="dxa" w:w="3120"/>
            <w:tcMar>
              <w:top w:type="dxa" w:w="80"/>
              <w:left w:type="dxa" w:w="100"/>
              <w:bottom w:type="dxa" w:w="80"/>
              <w:right w:type="dxa" w:w="100"/>
            </w:tcMar>
            <w:vAlign w:val="center"/>
          </w:tcPr>
          <w:p>
            <w:r>
              <w:rPr>
                <w:b w:val="false"/>
                <w:bCs w:val="false"/>
                <w:color w:val="666666"/>
                <w:sz w:val="20"/>
                <w:szCs w:val="20"/>
              </w:rPr>
              <w:t xml:space="preserve">The playbook travels</w:t>
            </w:r>
          </w:p>
        </w:tc>
      </w:tr>
    </w:tbl>
    <w:p>
      <w:pPr>
        <w:spacing w:after="200" w:before="160"/>
      </w:pPr>
      <w:r>
        <w:rPr>
          <w:b/>
          <w:bCs/>
          <w:color w:val="666666"/>
        </w:rPr>
        <w:t xml:space="preserve">The model’s load-bearing assumptions </w:t>
      </w:r>
      <w:r>
        <w:rPr>
          <w:color w:val="666666"/>
        </w:rPr>
        <w:t xml:space="preserve">are stated plainly: that free-site-to-paid conversion holds near 10% or better, and that cold outbound converts near paid rates at its low cost. Both are measurable within the first fifty free builds, before any paid-acquisition spend; gating paid acquisition on real conversion data from those first 50 builds is a non-negotiable decision rule, not a preference.</w:t>
      </w:r>
    </w:p>
    <w:p>
      <w:pPr>
        <w:pStyle w:val="Heading1"/>
        <w:spacing w:after="240" w:before="400"/>
      </w:pPr>
      <w:r>
        <w:rPr>
          <w:color w:val="666666"/>
        </w:rPr>
        <w:t xml:space="preserve">Marketing Strategy</w:t>
      </w:r>
    </w:p>
    <w:p>
      <w:pPr>
        <w:spacing w:after="200"/>
      </w:pPr>
      <w:r>
        <w:rPr>
          <w:color w:val="666666"/>
        </w:rPr>
        <w:t xml:space="preserve">The acquisition engine is the demand foundation; the marketing layer’s purpose is to lower blended acquisition cost over time so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is not renting all of its attention from one platform indefinitely.</w:t>
      </w:r>
    </w:p>
    <w:p>
      <w:pPr>
        <w:spacing w:after="200"/>
      </w:pPr>
      <w:r>
        <w:rPr>
          <w:color w:val="666666"/>
        </w:rPr>
        <w:t xml:space="preserve">Channels deploy in sequence: paid social as the validated workhorse; no-website outbound as the near-zero-cost, highest-intent complement; local SEO and Google Business for compounding owned demand; short-form video and customer-generated testimonials, which outperform polished studio creative; and ultimately a referral engine, the cheapest channel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will build, since contractors trust other contractors.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tblHeader/>
        </w:trPr>
        <w:tc>
          <w:tcPr>
            <w:tcW w:type="dxa" w:w="3120"/>
            <w:shd w:fill="D9D9D9" w:color="auto" w:val="clear"/>
            <w:tcMar>
              <w:top w:type="dxa" w:w="80"/>
              <w:left w:type="dxa" w:w="100"/>
              <w:bottom w:type="dxa" w:w="80"/>
              <w:right w:type="dxa" w:w="100"/>
            </w:tcMar>
            <w:vAlign w:val="center"/>
          </w:tcPr>
          <w:p>
            <w:r>
              <w:rPr>
                <w:b/>
                <w:bCs/>
                <w:color w:val="666666"/>
                <w:sz w:val="20"/>
                <w:szCs w:val="20"/>
              </w:rPr>
              <w:t xml:space="preserve">Window</w:t>
            </w:r>
          </w:p>
        </w:tc>
        <w:tc>
          <w:tcPr>
            <w:tcW w:type="dxa" w:w="3120"/>
            <w:shd w:fill="D9D9D9" w:color="auto" w:val="clear"/>
            <w:tcMar>
              <w:top w:type="dxa" w:w="80"/>
              <w:left w:type="dxa" w:w="100"/>
              <w:bottom w:type="dxa" w:w="80"/>
              <w:right w:type="dxa" w:w="100"/>
            </w:tcMar>
            <w:vAlign w:val="center"/>
          </w:tcPr>
          <w:p>
            <w:r>
              <w:rPr>
                <w:b/>
                <w:bCs/>
                <w:color w:val="666666"/>
                <w:sz w:val="20"/>
                <w:szCs w:val="20"/>
              </w:rPr>
              <w:t xml:space="preserve">Focus</w:t>
            </w:r>
          </w:p>
        </w:tc>
        <w:tc>
          <w:tcPr>
            <w:tcW w:type="dxa" w:w="3120"/>
            <w:shd w:fill="D9D9D9" w:color="auto" w:val="clear"/>
            <w:tcMar>
              <w:top w:type="dxa" w:w="80"/>
              <w:left w:type="dxa" w:w="100"/>
              <w:bottom w:type="dxa" w:w="80"/>
              <w:right w:type="dxa" w:w="100"/>
            </w:tcMar>
            <w:vAlign w:val="center"/>
          </w:tcPr>
          <w:p>
            <w:r>
              <w:rPr>
                <w:b/>
                <w:bCs/>
                <w:color w:val="666666"/>
                <w:sz w:val="20"/>
                <w:szCs w:val="20"/>
              </w:rPr>
              <w:t xml:space="preserve">Goal</w:t>
            </w:r>
          </w:p>
        </w:tc>
      </w:tr>
      <w:tr>
        <w:tc>
          <w:tcPr>
            <w:tcW w:type="dxa" w:w="3120"/>
            <w:tcMar>
              <w:top w:type="dxa" w:w="80"/>
              <w:left w:type="dxa" w:w="100"/>
              <w:bottom w:type="dxa" w:w="80"/>
              <w:right w:type="dxa" w:w="100"/>
            </w:tcMar>
            <w:vAlign w:val="center"/>
          </w:tcPr>
          <w:p>
            <w:r>
              <w:rPr>
                <w:b w:val="false"/>
                <w:bCs w:val="false"/>
                <w:color w:val="666666"/>
                <w:sz w:val="20"/>
                <w:szCs w:val="20"/>
              </w:rPr>
              <w:t xml:space="preserve">Months 1–3</w:t>
            </w:r>
          </w:p>
        </w:tc>
        <w:tc>
          <w:tcPr>
            <w:tcW w:type="dxa" w:w="3120"/>
            <w:tcMar>
              <w:top w:type="dxa" w:w="80"/>
              <w:left w:type="dxa" w:w="100"/>
              <w:bottom w:type="dxa" w:w="80"/>
              <w:right w:type="dxa" w:w="100"/>
            </w:tcMar>
            <w:vAlign w:val="center"/>
          </w:tcPr>
          <w:p>
            <w:r>
              <w:rPr>
                <w:b w:val="false"/>
                <w:bCs w:val="false"/>
                <w:color w:val="666666"/>
                <w:sz w:val="20"/>
                <w:szCs w:val="20"/>
              </w:rPr>
              <w:t xml:space="preserve">Validate the funnel</w:t>
            </w:r>
          </w:p>
        </w:tc>
        <w:tc>
          <w:tcPr>
            <w:tcW w:type="dxa" w:w="3120"/>
            <w:tcMar>
              <w:top w:type="dxa" w:w="80"/>
              <w:left w:type="dxa" w:w="100"/>
              <w:bottom w:type="dxa" w:w="80"/>
              <w:right w:type="dxa" w:w="100"/>
            </w:tcMar>
            <w:vAlign w:val="center"/>
          </w:tcPr>
          <w:p>
            <w:r>
              <w:rPr>
                <w:b w:val="false"/>
                <w:bCs w:val="false"/>
                <w:color w:val="666666"/>
                <w:sz w:val="20"/>
                <w:szCs w:val="20"/>
              </w:rPr>
              <w:t xml:space="preserve">Clear the conversion bar</w:t>
            </w:r>
          </w:p>
        </w:tc>
      </w:tr>
      <w:tr>
        <w:tc>
          <w:tcPr>
            <w:tcW w:type="dxa" w:w="3120"/>
            <w:tcMar>
              <w:top w:type="dxa" w:w="80"/>
              <w:left w:type="dxa" w:w="100"/>
              <w:bottom w:type="dxa" w:w="80"/>
              <w:right w:type="dxa" w:w="100"/>
            </w:tcMar>
            <w:vAlign w:val="center"/>
          </w:tcPr>
          <w:p>
            <w:r>
              <w:rPr>
                <w:b w:val="false"/>
                <w:bCs w:val="false"/>
                <w:color w:val="666666"/>
                <w:sz w:val="20"/>
                <w:szCs w:val="20"/>
              </w:rPr>
              <w:t xml:space="preserve">Months 4–9</w:t>
            </w:r>
          </w:p>
        </w:tc>
        <w:tc>
          <w:tcPr>
            <w:tcW w:type="dxa" w:w="3120"/>
            <w:tcMar>
              <w:top w:type="dxa" w:w="80"/>
              <w:left w:type="dxa" w:w="100"/>
              <w:bottom w:type="dxa" w:w="80"/>
              <w:right w:type="dxa" w:w="100"/>
            </w:tcMar>
            <w:vAlign w:val="center"/>
          </w:tcPr>
          <w:p>
            <w:r>
              <w:rPr>
                <w:b w:val="false"/>
                <w:bCs w:val="false"/>
                <w:color w:val="666666"/>
                <w:sz w:val="20"/>
                <w:szCs w:val="20"/>
              </w:rPr>
              <w:t xml:space="preserve">Scale paid social; launch testimonials</w:t>
            </w:r>
          </w:p>
        </w:tc>
        <w:tc>
          <w:tcPr>
            <w:tcW w:type="dxa" w:w="3120"/>
            <w:tcMar>
              <w:top w:type="dxa" w:w="80"/>
              <w:left w:type="dxa" w:w="100"/>
              <w:bottom w:type="dxa" w:w="80"/>
              <w:right w:type="dxa" w:w="100"/>
            </w:tcMar>
            <w:vAlign w:val="center"/>
          </w:tcPr>
          <w:p>
            <w:r>
              <w:rPr>
                <w:b w:val="false"/>
                <w:bCs w:val="false"/>
                <w:color w:val="666666"/>
                <w:sz w:val="20"/>
                <w:szCs w:val="20"/>
              </w:rPr>
              <w:t xml:space="preserve">Dominate Phoenix HVAC</w:t>
            </w:r>
          </w:p>
        </w:tc>
      </w:tr>
      <w:tr>
        <w:tc>
          <w:tcPr>
            <w:tcW w:type="dxa" w:w="3120"/>
            <w:tcMar>
              <w:top w:type="dxa" w:w="80"/>
              <w:left w:type="dxa" w:w="100"/>
              <w:bottom w:type="dxa" w:w="80"/>
              <w:right w:type="dxa" w:w="100"/>
            </w:tcMar>
            <w:vAlign w:val="center"/>
          </w:tcPr>
          <w:p>
            <w:r>
              <w:rPr>
                <w:b w:val="false"/>
                <w:bCs w:val="false"/>
                <w:color w:val="666666"/>
                <w:sz w:val="20"/>
                <w:szCs w:val="20"/>
              </w:rPr>
              <w:t xml:space="preserve">Months 10–15</w:t>
            </w:r>
          </w:p>
        </w:tc>
        <w:tc>
          <w:tcPr>
            <w:tcW w:type="dxa" w:w="3120"/>
            <w:tcMar>
              <w:top w:type="dxa" w:w="80"/>
              <w:left w:type="dxa" w:w="100"/>
              <w:bottom w:type="dxa" w:w="80"/>
              <w:right w:type="dxa" w:w="100"/>
            </w:tcMar>
            <w:vAlign w:val="center"/>
          </w:tcPr>
          <w:p>
            <w:r>
              <w:rPr>
                <w:b w:val="false"/>
                <w:bCs w:val="false"/>
                <w:color w:val="666666"/>
                <w:sz w:val="20"/>
                <w:szCs w:val="20"/>
              </w:rPr>
              <w:t xml:space="preserve">Add local SEO and referrals</w:t>
            </w:r>
          </w:p>
        </w:tc>
        <w:tc>
          <w:tcPr>
            <w:tcW w:type="dxa" w:w="3120"/>
            <w:tcMar>
              <w:top w:type="dxa" w:w="80"/>
              <w:left w:type="dxa" w:w="100"/>
              <w:bottom w:type="dxa" w:w="80"/>
              <w:right w:type="dxa" w:w="100"/>
            </w:tcMar>
            <w:vAlign w:val="center"/>
          </w:tcPr>
          <w:p>
            <w:r>
              <w:rPr>
                <w:b w:val="false"/>
                <w:bCs w:val="false"/>
                <w:color w:val="666666"/>
                <w:sz w:val="20"/>
                <w:szCs w:val="20"/>
              </w:rPr>
              <w:t xml:space="preserve">Reduce platform dependence</w:t>
            </w:r>
          </w:p>
        </w:tc>
      </w:tr>
      <w:tr>
        <w:tc>
          <w:tcPr>
            <w:tcW w:type="dxa" w:w="3120"/>
            <w:tcMar>
              <w:top w:type="dxa" w:w="80"/>
              <w:left w:type="dxa" w:w="100"/>
              <w:bottom w:type="dxa" w:w="80"/>
              <w:right w:type="dxa" w:w="100"/>
            </w:tcMar>
            <w:vAlign w:val="center"/>
          </w:tcPr>
          <w:p>
            <w:r>
              <w:rPr>
                <w:b w:val="false"/>
                <w:bCs w:val="false"/>
                <w:color w:val="666666"/>
                <w:sz w:val="20"/>
                <w:szCs w:val="20"/>
              </w:rPr>
              <w:t xml:space="preserve">Months 16–24</w:t>
            </w:r>
          </w:p>
        </w:tc>
        <w:tc>
          <w:tcPr>
            <w:tcW w:type="dxa" w:w="3120"/>
            <w:tcMar>
              <w:top w:type="dxa" w:w="80"/>
              <w:left w:type="dxa" w:w="100"/>
              <w:bottom w:type="dxa" w:w="80"/>
              <w:right w:type="dxa" w:w="100"/>
            </w:tcMar>
            <w:vAlign w:val="center"/>
          </w:tcPr>
          <w:p>
            <w:r>
              <w:rPr>
                <w:b w:val="false"/>
                <w:bCs w:val="false"/>
                <w:color w:val="666666"/>
                <w:sz w:val="20"/>
                <w:szCs w:val="20"/>
              </w:rPr>
              <w:t xml:space="preserve">Replicate to metro two</w:t>
            </w:r>
          </w:p>
        </w:tc>
        <w:tc>
          <w:tcPr>
            <w:tcW w:type="dxa" w:w="3120"/>
            <w:tcMar>
              <w:top w:type="dxa" w:w="80"/>
              <w:left w:type="dxa" w:w="100"/>
              <w:bottom w:type="dxa" w:w="80"/>
              <w:right w:type="dxa" w:w="100"/>
            </w:tcMar>
            <w:vAlign w:val="center"/>
          </w:tcPr>
          <w:p>
            <w:r>
              <w:rPr>
                <w:b w:val="false"/>
                <w:bCs w:val="false"/>
                <w:color w:val="666666"/>
                <w:sz w:val="20"/>
                <w:szCs w:val="20"/>
              </w:rPr>
              <w:t xml:space="preserve">Prove the model travels</w:t>
            </w:r>
          </w:p>
        </w:tc>
      </w:tr>
    </w:tbl>
    <w:p>
      <w:pPr>
        <w:spacing w:after="200" w:before="160"/>
      </w:pPr>
      <w:r>
        <w:rPr>
          <w:color w:val="666666"/>
        </w:rPr>
        <w:t xml:space="preserve">Every asset ladders to one line, </w:t>
      </w:r>
      <w:r>
        <w:rPr>
          <w:i/>
          <w:iCs/>
          <w:color w:val="666666"/>
        </w:rPr>
        <w:t xml:space="preserve">Your office staff, working 24/7</w:t>
      </w:r>
      <w:r>
        <w:rPr>
          <w:color w:val="666666"/>
        </w:rPr>
        <w:t xml:space="preserve">, building the brand of the company that runs the office, not the company that builds websites. That distinction is the long-term moat.</w:t>
      </w:r>
    </w:p>
    <w:p>
      <w:pPr>
        <w:pStyle w:val="Heading1"/>
        <w:spacing w:after="240" w:before="400"/>
      </w:pPr>
      <w:r>
        <w:rPr>
          <w:color w:val="666666"/>
        </w:rPr>
        <w:t xml:space="preserve">Operations &amp; Technology</w:t>
      </w:r>
    </w:p>
    <w:p>
      <w:pPr>
        <w:spacing w:after="200"/>
      </w:pP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operates as a set of automations supervised by the founder and technical contributors at the edges, keeping human attention on exceptions and trust moments rather than the assembly line.</w:t>
      </w:r>
    </w:p>
    <w:p>
      <w:pPr>
        <w:spacing w:after="200"/>
      </w:pPr>
      <w:r>
        <w:rPr>
          <w:color w:val="666666"/>
        </w:rPr>
        <w:t xml:space="preserve">The technology stack ties acquisition (Meta and outbound) to an orchestration layer that connects the CRM as the system of record, the automated site-build engine, the voice-AI receptionist, the communications layer for SMS/email/reviews, and an analytics layer instrumenting funnel metrics from day one. Each layer carries a defined watch-item: redundant ad accounts and compliance on acquisition; error-alerting on every orchestration workflow; opt-out synchronization across all tools; per-account voice-minute metering.</w:t>
      </w:r>
    </w:p>
    <w:p>
      <w:pPr>
        <w:spacing w:after="200"/>
      </w:pPr>
      <w:r>
        <w:rPr>
          <w:color w:val="666666"/>
        </w:rPr>
        <w:t xml:space="preserve">The single human-in-the-loop that matters is a quality checkpoint immediately before the free-site reveal, the highest-leverage moment in the funnel. Onboarding is automated, with a light proactive touch at activation and again at day thirty, the early-churn cliff.</w:t>
      </w:r>
    </w:p>
    <w:p>
      <w:pPr>
        <w:spacing w:after="200"/>
      </w:pPr>
      <w:r>
        <w:rPr>
          <w:color w:val="666666"/>
        </w:rPr>
        <w:t xml:space="preserve">Delivery scales nearly without limit; the true ceiling is go-to-market and exception-handling throughput, which governs hiring. On security,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holds contractor and homeowner data and call recordings, and maintains encryption, access controls, vendor agreements, retention and consent policies, and call-recording compliance as baseline, also a future acquisition-diligence asset.</w:t>
      </w:r>
    </w:p>
    <w:p>
      <w:pPr>
        <w:pStyle w:val="Heading1"/>
        <w:spacing w:after="240" w:before="400"/>
      </w:pPr>
      <w:r>
        <w:rPr>
          <w:color w:val="666666"/>
        </w:rPr>
        <w:t xml:space="preserve">Organization &amp; Hiring</w:t>
      </w:r>
    </w:p>
    <w:p>
      <w:pPr>
        <w:spacing w:after="200"/>
      </w:pP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is led by founder K. Michael Tortorich, MD, who sets company vision, go-to-market direction, and operating priority, with Patrick Bukowski contributing operations, client success, and growth execution, and Wenjie Tong contributing product architecture, the automated build-and-delivery engine, and the AI technology stack, both as needed rather than full-time.</w:t>
      </w:r>
    </w:p>
    <w:p>
      <w:pPr>
        <w:spacing w:after="200"/>
      </w:pPr>
      <w:r>
        <w:rPr>
          <w:color w:val="666666"/>
        </w:rPr>
        <w:t xml:space="preserve">Because delivery is automated, the first hire is not an engineer, it is whoever lifts the go-to-market ceiling. Hiring follows milestones, not the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tblHeader/>
        </w:trPr>
        <w:tc>
          <w:tcPr>
            <w:tcW w:type="dxa" w:w="3120"/>
            <w:shd w:fill="D9D9D9" w:color="auto" w:val="clear"/>
            <w:tcMar>
              <w:top w:type="dxa" w:w="80"/>
              <w:left w:type="dxa" w:w="100"/>
              <w:bottom w:type="dxa" w:w="80"/>
              <w:right w:type="dxa" w:w="100"/>
            </w:tcMar>
            <w:vAlign w:val="center"/>
          </w:tcPr>
          <w:p>
            <w:r>
              <w:rPr>
                <w:b/>
                <w:bCs/>
                <w:color w:val="666666"/>
                <w:sz w:val="20"/>
                <w:szCs w:val="20"/>
              </w:rPr>
              <w:t xml:space="preserve">Trigger</w:t>
            </w:r>
          </w:p>
        </w:tc>
        <w:tc>
          <w:tcPr>
            <w:tcW w:type="dxa" w:w="3120"/>
            <w:shd w:fill="D9D9D9" w:color="auto" w:val="clear"/>
            <w:tcMar>
              <w:top w:type="dxa" w:w="80"/>
              <w:left w:type="dxa" w:w="100"/>
              <w:bottom w:type="dxa" w:w="80"/>
              <w:right w:type="dxa" w:w="100"/>
            </w:tcMar>
            <w:vAlign w:val="center"/>
          </w:tcPr>
          <w:p>
            <w:r>
              <w:rPr>
                <w:b/>
                <w:bCs/>
                <w:color w:val="666666"/>
                <w:sz w:val="20"/>
                <w:szCs w:val="20"/>
              </w:rPr>
              <w:t xml:space="preserve">First hire</w:t>
            </w:r>
          </w:p>
        </w:tc>
        <w:tc>
          <w:tcPr>
            <w:tcW w:type="dxa" w:w="3120"/>
            <w:shd w:fill="D9D9D9" w:color="auto" w:val="clear"/>
            <w:tcMar>
              <w:top w:type="dxa" w:w="80"/>
              <w:left w:type="dxa" w:w="100"/>
              <w:bottom w:type="dxa" w:w="80"/>
              <w:right w:type="dxa" w:w="100"/>
            </w:tcMar>
            <w:vAlign w:val="center"/>
          </w:tcPr>
          <w:p>
            <w:r>
              <w:rPr>
                <w:b/>
                <w:bCs/>
                <w:color w:val="666666"/>
                <w:sz w:val="20"/>
                <w:szCs w:val="20"/>
              </w:rPr>
              <w:t xml:space="preserve">Rationale</w:t>
            </w:r>
          </w:p>
        </w:tc>
      </w:tr>
      <w:tr>
        <w:tc>
          <w:tcPr>
            <w:tcW w:type="dxa" w:w="3120"/>
            <w:tcMar>
              <w:top w:type="dxa" w:w="80"/>
              <w:left w:type="dxa" w:w="100"/>
              <w:bottom w:type="dxa" w:w="80"/>
              <w:right w:type="dxa" w:w="100"/>
            </w:tcMar>
            <w:vAlign w:val="center"/>
          </w:tcPr>
          <w:p>
            <w:r>
              <w:rPr>
                <w:b w:val="false"/>
                <w:bCs w:val="false"/>
                <w:color w:val="666666"/>
                <w:sz w:val="20"/>
                <w:szCs w:val="20"/>
              </w:rPr>
              <w:t xml:space="preserve">Funnel validated, 40–50 customers</w:t>
            </w:r>
          </w:p>
        </w:tc>
        <w:tc>
          <w:tcPr>
            <w:tcW w:type="dxa" w:w="3120"/>
            <w:tcMar>
              <w:top w:type="dxa" w:w="80"/>
              <w:left w:type="dxa" w:w="100"/>
              <w:bottom w:type="dxa" w:w="80"/>
              <w:right w:type="dxa" w:w="100"/>
            </w:tcMar>
            <w:vAlign w:val="center"/>
          </w:tcPr>
          <w:p>
            <w:r>
              <w:rPr>
                <w:b w:val="false"/>
                <w:bCs w:val="false"/>
                <w:color w:val="666666"/>
                <w:sz w:val="20"/>
                <w:szCs w:val="20"/>
              </w:rPr>
              <w:t xml:space="preserve">Growth / sales lead</w:t>
            </w:r>
          </w:p>
        </w:tc>
        <w:tc>
          <w:tcPr>
            <w:tcW w:type="dxa" w:w="3120"/>
            <w:tcMar>
              <w:top w:type="dxa" w:w="80"/>
              <w:left w:type="dxa" w:w="100"/>
              <w:bottom w:type="dxa" w:w="80"/>
              <w:right w:type="dxa" w:w="100"/>
            </w:tcMar>
            <w:vAlign w:val="center"/>
          </w:tcPr>
          <w:p>
            <w:r>
              <w:rPr>
                <w:b w:val="false"/>
                <w:bCs w:val="false"/>
                <w:color w:val="666666"/>
                <w:sz w:val="20"/>
                <w:szCs w:val="20"/>
              </w:rPr>
              <w:t xml:space="preserve">Lifts the founder-bandwidth cap</w:t>
            </w:r>
          </w:p>
        </w:tc>
      </w:tr>
      <w:tr>
        <w:tc>
          <w:tcPr>
            <w:tcW w:type="dxa" w:w="3120"/>
            <w:tcMar>
              <w:top w:type="dxa" w:w="80"/>
              <w:left w:type="dxa" w:w="100"/>
              <w:bottom w:type="dxa" w:w="80"/>
              <w:right w:type="dxa" w:w="100"/>
            </w:tcMar>
            <w:vAlign w:val="center"/>
          </w:tcPr>
          <w:p>
            <w:r>
              <w:rPr>
                <w:b w:val="false"/>
                <w:bCs w:val="false"/>
                <w:color w:val="666666"/>
                <w:sz w:val="20"/>
                <w:szCs w:val="20"/>
              </w:rPr>
              <w:t xml:space="preserve">100+ customers</w:t>
            </w:r>
          </w:p>
        </w:tc>
        <w:tc>
          <w:tcPr>
            <w:tcW w:type="dxa" w:w="3120"/>
            <w:tcMar>
              <w:top w:type="dxa" w:w="80"/>
              <w:left w:type="dxa" w:w="100"/>
              <w:bottom w:type="dxa" w:w="80"/>
              <w:right w:type="dxa" w:w="100"/>
            </w:tcMar>
            <w:vAlign w:val="center"/>
          </w:tcPr>
          <w:p>
            <w:r>
              <w:rPr>
                <w:b w:val="false"/>
                <w:bCs w:val="false"/>
                <w:color w:val="666666"/>
                <w:sz w:val="20"/>
                <w:szCs w:val="20"/>
              </w:rPr>
              <w:t xml:space="preserve">Customer success lead</w:t>
            </w:r>
          </w:p>
        </w:tc>
        <w:tc>
          <w:tcPr>
            <w:tcW w:type="dxa" w:w="3120"/>
            <w:tcMar>
              <w:top w:type="dxa" w:w="80"/>
              <w:left w:type="dxa" w:w="100"/>
              <w:bottom w:type="dxa" w:w="80"/>
              <w:right w:type="dxa" w:w="100"/>
            </w:tcMar>
            <w:vAlign w:val="center"/>
          </w:tcPr>
          <w:p>
            <w:r>
              <w:rPr>
                <w:b w:val="false"/>
                <w:bCs w:val="false"/>
                <w:color w:val="666666"/>
                <w:sz w:val="20"/>
                <w:szCs w:val="20"/>
              </w:rPr>
              <w:t xml:space="preserve">Protects retention, which protects the model</w:t>
            </w:r>
          </w:p>
        </w:tc>
      </w:tr>
      <w:tr>
        <w:tc>
          <w:tcPr>
            <w:tcW w:type="dxa" w:w="3120"/>
            <w:tcMar>
              <w:top w:type="dxa" w:w="80"/>
              <w:left w:type="dxa" w:w="100"/>
              <w:bottom w:type="dxa" w:w="80"/>
              <w:right w:type="dxa" w:w="100"/>
            </w:tcMar>
            <w:vAlign w:val="center"/>
          </w:tcPr>
          <w:p>
            <w:r>
              <w:rPr>
                <w:b w:val="false"/>
                <w:bCs w:val="false"/>
                <w:color w:val="666666"/>
                <w:sz w:val="20"/>
                <w:szCs w:val="20"/>
              </w:rPr>
              <w:t xml:space="preserve">Metro two launch</w:t>
            </w:r>
          </w:p>
        </w:tc>
        <w:tc>
          <w:tcPr>
            <w:tcW w:type="dxa" w:w="3120"/>
            <w:tcMar>
              <w:top w:type="dxa" w:w="80"/>
              <w:left w:type="dxa" w:w="100"/>
              <w:bottom w:type="dxa" w:w="80"/>
              <w:right w:type="dxa" w:w="100"/>
            </w:tcMar>
            <w:vAlign w:val="center"/>
          </w:tcPr>
          <w:p>
            <w:r>
              <w:rPr>
                <w:b w:val="false"/>
                <w:bCs w:val="false"/>
                <w:color w:val="666666"/>
                <w:sz w:val="20"/>
                <w:szCs w:val="20"/>
              </w:rPr>
              <w:t xml:space="preserve">Operations / automation engineer</w:t>
            </w:r>
          </w:p>
        </w:tc>
        <w:tc>
          <w:tcPr>
            <w:tcW w:type="dxa" w:w="3120"/>
            <w:tcMar>
              <w:top w:type="dxa" w:w="80"/>
              <w:left w:type="dxa" w:w="100"/>
              <w:bottom w:type="dxa" w:w="80"/>
              <w:right w:type="dxa" w:w="100"/>
            </w:tcMar>
            <w:vAlign w:val="center"/>
          </w:tcPr>
          <w:p>
            <w:r>
              <w:rPr>
                <w:b w:val="false"/>
                <w:bCs w:val="false"/>
                <w:color w:val="666666"/>
                <w:sz w:val="20"/>
                <w:szCs w:val="20"/>
              </w:rPr>
              <w:t xml:space="preserve">Keeps the stack reliable at scale</w:t>
            </w:r>
          </w:p>
        </w:tc>
      </w:tr>
      <w:tr>
        <w:tc>
          <w:tcPr>
            <w:tcW w:type="dxa" w:w="3120"/>
            <w:tcMar>
              <w:top w:type="dxa" w:w="80"/>
              <w:left w:type="dxa" w:w="100"/>
              <w:bottom w:type="dxa" w:w="80"/>
              <w:right w:type="dxa" w:w="100"/>
            </w:tcMar>
            <w:vAlign w:val="center"/>
          </w:tcPr>
          <w:p>
            <w:r>
              <w:rPr>
                <w:b w:val="false"/>
                <w:bCs w:val="false"/>
                <w:color w:val="666666"/>
                <w:sz w:val="20"/>
                <w:szCs w:val="20"/>
              </w:rPr>
              <w:t xml:space="preserve">Multi-metro</w:t>
            </w:r>
          </w:p>
        </w:tc>
        <w:tc>
          <w:tcPr>
            <w:tcW w:type="dxa" w:w="3120"/>
            <w:tcMar>
              <w:top w:type="dxa" w:w="80"/>
              <w:left w:type="dxa" w:w="100"/>
              <w:bottom w:type="dxa" w:w="80"/>
              <w:right w:type="dxa" w:w="100"/>
            </w:tcMar>
            <w:vAlign w:val="center"/>
          </w:tcPr>
          <w:p>
            <w:r>
              <w:rPr>
                <w:b w:val="false"/>
                <w:bCs w:val="false"/>
                <w:color w:val="666666"/>
                <w:sz w:val="20"/>
                <w:szCs w:val="20"/>
              </w:rPr>
              <w:t xml:space="preserve">Finance / compliance (fractional first)</w:t>
            </w:r>
          </w:p>
        </w:tc>
        <w:tc>
          <w:tcPr>
            <w:tcW w:type="dxa" w:w="3120"/>
            <w:tcMar>
              <w:top w:type="dxa" w:w="80"/>
              <w:left w:type="dxa" w:w="100"/>
              <w:bottom w:type="dxa" w:w="80"/>
              <w:right w:type="dxa" w:w="100"/>
            </w:tcMar>
            <w:vAlign w:val="center"/>
          </w:tcPr>
          <w:p>
            <w:r>
              <w:rPr>
                <w:b w:val="false"/>
                <w:bCs w:val="false"/>
                <w:color w:val="666666"/>
                <w:sz w:val="20"/>
                <w:szCs w:val="20"/>
              </w:rPr>
              <w:t xml:space="preserve">Compliance, payments, reporting</w:t>
            </w:r>
          </w:p>
        </w:tc>
      </w:tr>
    </w:tbl>
    <w:p>
      <w:pPr>
        <w:spacing w:after="200" w:before="160"/>
      </w:pPr>
      <w:r>
        <w:rPr>
          <w:color w:val="666666"/>
        </w:rPr>
        <w:t xml:space="preserve">Compensation begins lean with meaningful early equity and shifts toward market base as revenue allows, with an intentional option pool given the low planned dilution. The company-wide north star is Net Revenue Retention. Culture prizes speed, candor about what is and isn’t working, and the discipline to automate first and hire only to the exception.</w:t>
      </w:r>
    </w:p>
    <w:p>
      <w:pPr>
        <w:pStyle w:val="Heading1"/>
        <w:spacing w:after="240" w:before="400"/>
      </w:pPr>
      <w:r>
        <w:rPr>
          <w:color w:val="666666"/>
        </w:rPr>
        <w:t xml:space="preserve">Risk Management</w:t>
      </w:r>
    </w:p>
    <w:p>
      <w:pPr>
        <w:spacing w:after="200"/>
      </w:pP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manages risk by exposure, with mitigations designed into the plan rather than bolted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400"/>
        <w:gridCol w:w="1400"/>
        <w:gridCol w:w="4060"/>
      </w:tblGrid>
      <w:tr>
        <w:trPr>
          <w:tblHeader/>
        </w:trPr>
        <w:tc>
          <w:tcPr>
            <w:tcW w:type="dxa" w:w="2500"/>
            <w:shd w:fill="D9D9D9" w:color="auto" w:val="clear"/>
            <w:tcMar>
              <w:top w:type="dxa" w:w="80"/>
              <w:left w:type="dxa" w:w="100"/>
              <w:bottom w:type="dxa" w:w="80"/>
              <w:right w:type="dxa" w:w="100"/>
            </w:tcMar>
            <w:vAlign w:val="center"/>
          </w:tcPr>
          <w:p>
            <w:r>
              <w:rPr>
                <w:b/>
                <w:bCs/>
                <w:color w:val="666666"/>
                <w:sz w:val="20"/>
                <w:szCs w:val="20"/>
              </w:rPr>
              <w:t xml:space="preserve">Risk</w:t>
            </w:r>
          </w:p>
        </w:tc>
        <w:tc>
          <w:tcPr>
            <w:tcW w:type="dxa" w:w="1400"/>
            <w:shd w:fill="D9D9D9" w:color="auto" w:val="clear"/>
            <w:tcMar>
              <w:top w:type="dxa" w:w="80"/>
              <w:left w:type="dxa" w:w="100"/>
              <w:bottom w:type="dxa" w:w="80"/>
              <w:right w:type="dxa" w:w="100"/>
            </w:tcMar>
            <w:vAlign w:val="center"/>
          </w:tcPr>
          <w:p>
            <w:r>
              <w:rPr>
                <w:b/>
                <w:bCs/>
                <w:color w:val="666666"/>
                <w:sz w:val="20"/>
                <w:szCs w:val="20"/>
              </w:rPr>
              <w:t xml:space="preserve">Likelihood</w:t>
            </w:r>
          </w:p>
        </w:tc>
        <w:tc>
          <w:tcPr>
            <w:tcW w:type="dxa" w:w="1400"/>
            <w:shd w:fill="D9D9D9" w:color="auto" w:val="clear"/>
            <w:tcMar>
              <w:top w:type="dxa" w:w="80"/>
              <w:left w:type="dxa" w:w="100"/>
              <w:bottom w:type="dxa" w:w="80"/>
              <w:right w:type="dxa" w:w="100"/>
            </w:tcMar>
            <w:vAlign w:val="center"/>
          </w:tcPr>
          <w:p>
            <w:r>
              <w:rPr>
                <w:b/>
                <w:bCs/>
                <w:color w:val="666666"/>
                <w:sz w:val="20"/>
                <w:szCs w:val="20"/>
              </w:rPr>
              <w:t xml:space="preserve">Impact</w:t>
            </w:r>
          </w:p>
        </w:tc>
        <w:tc>
          <w:tcPr>
            <w:tcW w:type="dxa" w:w="4060"/>
            <w:shd w:fill="D9D9D9" w:color="auto" w:val="clear"/>
            <w:tcMar>
              <w:top w:type="dxa" w:w="80"/>
              <w:left w:type="dxa" w:w="100"/>
              <w:bottom w:type="dxa" w:w="80"/>
              <w:right w:type="dxa" w:w="100"/>
            </w:tcMar>
            <w:vAlign w:val="center"/>
          </w:tcPr>
          <w:p>
            <w:r>
              <w:rPr>
                <w:b/>
                <w:bCs/>
                <w:color w:val="666666"/>
                <w:sz w:val="20"/>
                <w:szCs w:val="20"/>
              </w:rPr>
              <w:t xml:space="preserve">Mitigation</w:t>
            </w:r>
          </w:p>
        </w:tc>
      </w:tr>
      <w:tr>
        <w:tc>
          <w:tcPr>
            <w:tcW w:type="dxa" w:w="2500"/>
            <w:tcMar>
              <w:top w:type="dxa" w:w="80"/>
              <w:left w:type="dxa" w:w="100"/>
              <w:bottom w:type="dxa" w:w="80"/>
              <w:right w:type="dxa" w:w="100"/>
            </w:tcMar>
            <w:vAlign w:val="center"/>
          </w:tcPr>
          <w:p>
            <w:r>
              <w:rPr>
                <w:b w:val="false"/>
                <w:bCs w:val="false"/>
                <w:color w:val="666666"/>
                <w:sz w:val="20"/>
                <w:szCs w:val="20"/>
              </w:rPr>
              <w:t xml:space="preserve">Free-to-paid conversion underperforms</w:t>
            </w:r>
          </w:p>
        </w:tc>
        <w:tc>
          <w:tcPr>
            <w:tcW w:type="dxa" w:w="1400"/>
            <w:tcMar>
              <w:top w:type="dxa" w:w="80"/>
              <w:left w:type="dxa" w:w="100"/>
              <w:bottom w:type="dxa" w:w="80"/>
              <w:right w:type="dxa" w:w="100"/>
            </w:tcMar>
            <w:vAlign w:val="center"/>
          </w:tcPr>
          <w:p>
            <w:r>
              <w:rPr>
                <w:b w:val="false"/>
                <w:bCs w:val="false"/>
                <w:color w:val="666666"/>
                <w:sz w:val="20"/>
                <w:szCs w:val="20"/>
              </w:rPr>
              <w:t xml:space="preserve">Medium</w:t>
            </w:r>
          </w:p>
        </w:tc>
        <w:tc>
          <w:tcPr>
            <w:tcW w:type="dxa" w:w="1400"/>
            <w:tcMar>
              <w:top w:type="dxa" w:w="80"/>
              <w:left w:type="dxa" w:w="100"/>
              <w:bottom w:type="dxa" w:w="80"/>
              <w:right w:type="dxa" w:w="100"/>
            </w:tcMar>
            <w:vAlign w:val="center"/>
          </w:tcPr>
          <w:p>
            <w:r>
              <w:rPr>
                <w:b w:val="false"/>
                <w:bCs w:val="false"/>
                <w:color w:val="666666"/>
                <w:sz w:val="20"/>
                <w:szCs w:val="20"/>
              </w:rPr>
              <w:t xml:space="preserve">Critical</w:t>
            </w:r>
          </w:p>
        </w:tc>
        <w:tc>
          <w:tcPr>
            <w:tcW w:type="dxa" w:w="4060"/>
            <w:tcMar>
              <w:top w:type="dxa" w:w="80"/>
              <w:left w:type="dxa" w:w="100"/>
              <w:bottom w:type="dxa" w:w="80"/>
              <w:right w:type="dxa" w:w="100"/>
            </w:tcMar>
            <w:vAlign w:val="center"/>
          </w:tcPr>
          <w:p>
            <w:r>
              <w:rPr>
                <w:b w:val="false"/>
                <w:bCs w:val="false"/>
                <w:color w:val="666666"/>
                <w:sz w:val="20"/>
                <w:szCs w:val="20"/>
              </w:rPr>
              <w:t xml:space="preserve">Gate ad spend on a conversion bar; add a closer at the reveal</w:t>
            </w:r>
          </w:p>
        </w:tc>
      </w:tr>
      <w:tr>
        <w:tc>
          <w:tcPr>
            <w:tcW w:type="dxa" w:w="2500"/>
            <w:tcMar>
              <w:top w:type="dxa" w:w="80"/>
              <w:left w:type="dxa" w:w="100"/>
              <w:bottom w:type="dxa" w:w="80"/>
              <w:right w:type="dxa" w:w="100"/>
            </w:tcMar>
            <w:vAlign w:val="center"/>
          </w:tcPr>
          <w:p>
            <w:r>
              <w:rPr>
                <w:b w:val="false"/>
                <w:bCs w:val="false"/>
                <w:color w:val="666666"/>
                <w:sz w:val="20"/>
                <w:szCs w:val="20"/>
              </w:rPr>
              <w:t xml:space="preserve">Cold-outreach legal exposure (TCPA)</w:t>
            </w:r>
          </w:p>
        </w:tc>
        <w:tc>
          <w:tcPr>
            <w:tcW w:type="dxa" w:w="1400"/>
            <w:tcMar>
              <w:top w:type="dxa" w:w="80"/>
              <w:left w:type="dxa" w:w="100"/>
              <w:bottom w:type="dxa" w:w="80"/>
              <w:right w:type="dxa" w:w="100"/>
            </w:tcMar>
            <w:vAlign w:val="center"/>
          </w:tcPr>
          <w:p>
            <w:r>
              <w:rPr>
                <w:b w:val="false"/>
                <w:bCs w:val="false"/>
                <w:color w:val="666666"/>
                <w:sz w:val="20"/>
                <w:szCs w:val="20"/>
              </w:rPr>
              <w:t xml:space="preserve">Medium</w:t>
            </w:r>
          </w:p>
        </w:tc>
        <w:tc>
          <w:tcPr>
            <w:tcW w:type="dxa" w:w="1400"/>
            <w:tcMar>
              <w:top w:type="dxa" w:w="80"/>
              <w:left w:type="dxa" w:w="100"/>
              <w:bottom w:type="dxa" w:w="80"/>
              <w:right w:type="dxa" w:w="100"/>
            </w:tcMar>
            <w:vAlign w:val="center"/>
          </w:tcPr>
          <w:p>
            <w:r>
              <w:rPr>
                <w:b w:val="false"/>
                <w:bCs w:val="false"/>
                <w:color w:val="666666"/>
                <w:sz w:val="20"/>
                <w:szCs w:val="20"/>
              </w:rPr>
              <w:t xml:space="preserve">Critical</w:t>
            </w:r>
          </w:p>
        </w:tc>
        <w:tc>
          <w:tcPr>
            <w:tcW w:type="dxa" w:w="4060"/>
            <w:tcMar>
              <w:top w:type="dxa" w:w="80"/>
              <w:left w:type="dxa" w:w="100"/>
              <w:bottom w:type="dxa" w:w="80"/>
              <w:right w:type="dxa" w:w="100"/>
            </w:tcMar>
            <w:vAlign w:val="center"/>
          </w:tcPr>
          <w:p>
            <w:r>
              <w:rPr>
                <w:b w:val="false"/>
                <w:bCs w:val="false"/>
                <w:color w:val="666666"/>
                <w:sz w:val="20"/>
                <w:szCs w:val="20"/>
              </w:rPr>
              <w:t xml:space="preserve">Email-first, consent-before-text, DNC scrub, 10DLC, counsel</w:t>
            </w:r>
          </w:p>
        </w:tc>
      </w:tr>
      <w:tr>
        <w:tc>
          <w:tcPr>
            <w:tcW w:type="dxa" w:w="2500"/>
            <w:tcMar>
              <w:top w:type="dxa" w:w="80"/>
              <w:left w:type="dxa" w:w="100"/>
              <w:bottom w:type="dxa" w:w="80"/>
              <w:right w:type="dxa" w:w="100"/>
            </w:tcMar>
            <w:vAlign w:val="center"/>
          </w:tcPr>
          <w:p>
            <w:r>
              <w:rPr>
                <w:b w:val="false"/>
                <w:bCs w:val="false"/>
                <w:color w:val="666666"/>
                <w:sz w:val="20"/>
                <w:szCs w:val="20"/>
              </w:rPr>
              <w:t xml:space="preserve">Churn higher than modeled</w:t>
            </w:r>
          </w:p>
        </w:tc>
        <w:tc>
          <w:tcPr>
            <w:tcW w:type="dxa" w:w="1400"/>
            <w:tcMar>
              <w:top w:type="dxa" w:w="80"/>
              <w:left w:type="dxa" w:w="100"/>
              <w:bottom w:type="dxa" w:w="80"/>
              <w:right w:type="dxa" w:w="100"/>
            </w:tcMar>
            <w:vAlign w:val="center"/>
          </w:tcPr>
          <w:p>
            <w:r>
              <w:rPr>
                <w:b w:val="false"/>
                <w:bCs w:val="false"/>
                <w:color w:val="666666"/>
                <w:sz w:val="20"/>
                <w:szCs w:val="20"/>
              </w:rPr>
              <w:t xml:space="preserve">Medium</w:t>
            </w:r>
          </w:p>
        </w:tc>
        <w:tc>
          <w:tcPr>
            <w:tcW w:type="dxa" w:w="1400"/>
            <w:tcMar>
              <w:top w:type="dxa" w:w="80"/>
              <w:left w:type="dxa" w:w="100"/>
              <w:bottom w:type="dxa" w:w="80"/>
              <w:right w:type="dxa" w:w="100"/>
            </w:tcMar>
            <w:vAlign w:val="center"/>
          </w:tcPr>
          <w:p>
            <w:r>
              <w:rPr>
                <w:b w:val="false"/>
                <w:bCs w:val="false"/>
                <w:color w:val="666666"/>
                <w:sz w:val="20"/>
                <w:szCs w:val="20"/>
              </w:rPr>
              <w:t xml:space="preserve">High</w:t>
            </w:r>
          </w:p>
        </w:tc>
        <w:tc>
          <w:tcPr>
            <w:tcW w:type="dxa" w:w="4060"/>
            <w:tcMar>
              <w:top w:type="dxa" w:w="80"/>
              <w:left w:type="dxa" w:w="100"/>
              <w:bottom w:type="dxa" w:w="80"/>
              <w:right w:type="dxa" w:w="100"/>
            </w:tcMar>
            <w:vAlign w:val="center"/>
          </w:tcPr>
          <w:p>
            <w:r>
              <w:rPr>
                <w:b w:val="false"/>
                <w:bCs w:val="false"/>
                <w:color w:val="666666"/>
                <w:sz w:val="20"/>
                <w:szCs w:val="20"/>
              </w:rPr>
              <w:t xml:space="preserve">Day-30 success touch; early metering; expansion roadmap</w:t>
            </w:r>
          </w:p>
        </w:tc>
      </w:tr>
      <w:tr>
        <w:tc>
          <w:tcPr>
            <w:tcW w:type="dxa" w:w="2500"/>
            <w:tcMar>
              <w:top w:type="dxa" w:w="80"/>
              <w:left w:type="dxa" w:w="100"/>
              <w:bottom w:type="dxa" w:w="80"/>
              <w:right w:type="dxa" w:w="100"/>
            </w:tcMar>
            <w:vAlign w:val="center"/>
          </w:tcPr>
          <w:p>
            <w:r>
              <w:rPr>
                <w:b w:val="false"/>
                <w:bCs w:val="false"/>
                <w:color w:val="666666"/>
                <w:sz w:val="20"/>
                <w:szCs w:val="20"/>
              </w:rPr>
              <w:t xml:space="preserve">Touchless high-ticket sale underperforms</w:t>
            </w:r>
          </w:p>
        </w:tc>
        <w:tc>
          <w:tcPr>
            <w:tcW w:type="dxa" w:w="1400"/>
            <w:tcMar>
              <w:top w:type="dxa" w:w="80"/>
              <w:left w:type="dxa" w:w="100"/>
              <w:bottom w:type="dxa" w:w="80"/>
              <w:right w:type="dxa" w:w="100"/>
            </w:tcMar>
            <w:vAlign w:val="center"/>
          </w:tcPr>
          <w:p>
            <w:r>
              <w:rPr>
                <w:b w:val="false"/>
                <w:bCs w:val="false"/>
                <w:color w:val="666666"/>
                <w:sz w:val="20"/>
                <w:szCs w:val="20"/>
              </w:rPr>
              <w:t xml:space="preserve">Medium-High</w:t>
            </w:r>
          </w:p>
        </w:tc>
        <w:tc>
          <w:tcPr>
            <w:tcW w:type="dxa" w:w="1400"/>
            <w:tcMar>
              <w:top w:type="dxa" w:w="80"/>
              <w:left w:type="dxa" w:w="100"/>
              <w:bottom w:type="dxa" w:w="80"/>
              <w:right w:type="dxa" w:w="100"/>
            </w:tcMar>
            <w:vAlign w:val="center"/>
          </w:tcPr>
          <w:p>
            <w:r>
              <w:rPr>
                <w:b w:val="false"/>
                <w:bCs w:val="false"/>
                <w:color w:val="666666"/>
                <w:sz w:val="20"/>
                <w:szCs w:val="20"/>
              </w:rPr>
              <w:t xml:space="preserve">High</w:t>
            </w:r>
          </w:p>
        </w:tc>
        <w:tc>
          <w:tcPr>
            <w:tcW w:type="dxa" w:w="4060"/>
            <w:tcMar>
              <w:top w:type="dxa" w:w="80"/>
              <w:left w:type="dxa" w:w="100"/>
              <w:bottom w:type="dxa" w:w="80"/>
              <w:right w:type="dxa" w:w="100"/>
            </w:tcMar>
            <w:vAlign w:val="center"/>
          </w:tcPr>
          <w:p>
            <w:r>
              <w:rPr>
                <w:b w:val="false"/>
                <w:bCs w:val="false"/>
                <w:color w:val="666666"/>
                <w:sz w:val="20"/>
                <w:szCs w:val="20"/>
              </w:rPr>
              <w:t xml:space="preserve">Hybrid AI-voice or human closer at conversion</w:t>
            </w:r>
          </w:p>
        </w:tc>
      </w:tr>
      <w:tr>
        <w:tc>
          <w:tcPr>
            <w:tcW w:type="dxa" w:w="2500"/>
            <w:tcMar>
              <w:top w:type="dxa" w:w="80"/>
              <w:left w:type="dxa" w:w="100"/>
              <w:bottom w:type="dxa" w:w="80"/>
              <w:right w:type="dxa" w:w="100"/>
            </w:tcMar>
            <w:vAlign w:val="center"/>
          </w:tcPr>
          <w:p>
            <w:r>
              <w:rPr>
                <w:b w:val="false"/>
                <w:bCs w:val="false"/>
                <w:color w:val="666666"/>
                <w:sz w:val="20"/>
                <w:szCs w:val="20"/>
              </w:rPr>
              <w:t xml:space="preserve">Platform concentration / ad-account ban</w:t>
            </w:r>
          </w:p>
        </w:tc>
        <w:tc>
          <w:tcPr>
            <w:tcW w:type="dxa" w:w="1400"/>
            <w:tcMar>
              <w:top w:type="dxa" w:w="80"/>
              <w:left w:type="dxa" w:w="100"/>
              <w:bottom w:type="dxa" w:w="80"/>
              <w:right w:type="dxa" w:w="100"/>
            </w:tcMar>
            <w:vAlign w:val="center"/>
          </w:tcPr>
          <w:p>
            <w:r>
              <w:rPr>
                <w:b w:val="false"/>
                <w:bCs w:val="false"/>
                <w:color w:val="666666"/>
                <w:sz w:val="20"/>
                <w:szCs w:val="20"/>
              </w:rPr>
              <w:t xml:space="preserve">Medium</w:t>
            </w:r>
          </w:p>
        </w:tc>
        <w:tc>
          <w:tcPr>
            <w:tcW w:type="dxa" w:w="1400"/>
            <w:tcMar>
              <w:top w:type="dxa" w:w="80"/>
              <w:left w:type="dxa" w:w="100"/>
              <w:bottom w:type="dxa" w:w="80"/>
              <w:right w:type="dxa" w:w="100"/>
            </w:tcMar>
            <w:vAlign w:val="center"/>
          </w:tcPr>
          <w:p>
            <w:r>
              <w:rPr>
                <w:b w:val="false"/>
                <w:bCs w:val="false"/>
                <w:color w:val="666666"/>
                <w:sz w:val="20"/>
                <w:szCs w:val="20"/>
              </w:rPr>
              <w:t xml:space="preserve">High</w:t>
            </w:r>
          </w:p>
        </w:tc>
        <w:tc>
          <w:tcPr>
            <w:tcW w:type="dxa" w:w="4060"/>
            <w:tcMar>
              <w:top w:type="dxa" w:w="80"/>
              <w:left w:type="dxa" w:w="100"/>
              <w:bottom w:type="dxa" w:w="80"/>
              <w:right w:type="dxa" w:w="100"/>
            </w:tcMar>
            <w:vAlign w:val="center"/>
          </w:tcPr>
          <w:p>
            <w:r>
              <w:rPr>
                <w:b w:val="false"/>
                <w:bCs w:val="false"/>
                <w:color w:val="666666"/>
                <w:sz w:val="20"/>
                <w:szCs w:val="20"/>
              </w:rPr>
              <w:t xml:space="preserve">Backup accounts; diversify to SEO, referral, outbound early</w:t>
            </w:r>
          </w:p>
        </w:tc>
      </w:tr>
      <w:tr>
        <w:tc>
          <w:tcPr>
            <w:tcW w:type="dxa" w:w="2500"/>
            <w:tcMar>
              <w:top w:type="dxa" w:w="80"/>
              <w:left w:type="dxa" w:w="100"/>
              <w:bottom w:type="dxa" w:w="80"/>
              <w:right w:type="dxa" w:w="100"/>
            </w:tcMar>
            <w:vAlign w:val="center"/>
          </w:tcPr>
          <w:p>
            <w:r>
              <w:rPr>
                <w:b w:val="false"/>
                <w:bCs w:val="false"/>
                <w:color w:val="666666"/>
                <w:sz w:val="20"/>
                <w:szCs w:val="20"/>
              </w:rPr>
              <w:t xml:space="preserve">Incumbents add AI front office</w:t>
            </w:r>
          </w:p>
        </w:tc>
        <w:tc>
          <w:tcPr>
            <w:tcW w:type="dxa" w:w="1400"/>
            <w:tcMar>
              <w:top w:type="dxa" w:w="80"/>
              <w:left w:type="dxa" w:w="100"/>
              <w:bottom w:type="dxa" w:w="80"/>
              <w:right w:type="dxa" w:w="100"/>
            </w:tcMar>
            <w:vAlign w:val="center"/>
          </w:tcPr>
          <w:p>
            <w:r>
              <w:rPr>
                <w:b w:val="false"/>
                <w:bCs w:val="false"/>
                <w:color w:val="666666"/>
                <w:sz w:val="20"/>
                <w:szCs w:val="20"/>
              </w:rPr>
              <w:t xml:space="preserve">High</w:t>
            </w:r>
          </w:p>
        </w:tc>
        <w:tc>
          <w:tcPr>
            <w:tcW w:type="dxa" w:w="1400"/>
            <w:tcMar>
              <w:top w:type="dxa" w:w="80"/>
              <w:left w:type="dxa" w:w="100"/>
              <w:bottom w:type="dxa" w:w="80"/>
              <w:right w:type="dxa" w:w="100"/>
            </w:tcMar>
            <w:vAlign w:val="center"/>
          </w:tcPr>
          <w:p>
            <w:r>
              <w:rPr>
                <w:b w:val="false"/>
                <w:bCs w:val="false"/>
                <w:color w:val="666666"/>
                <w:sz w:val="20"/>
                <w:szCs w:val="20"/>
              </w:rPr>
              <w:t xml:space="preserve">Medium-High</w:t>
            </w:r>
          </w:p>
        </w:tc>
        <w:tc>
          <w:tcPr>
            <w:tcW w:type="dxa" w:w="4060"/>
            <w:tcMar>
              <w:top w:type="dxa" w:w="80"/>
              <w:left w:type="dxa" w:w="100"/>
              <w:bottom w:type="dxa" w:w="80"/>
              <w:right w:type="dxa" w:w="100"/>
            </w:tcMar>
            <w:vAlign w:val="center"/>
          </w:tcPr>
          <w:p>
            <w:r>
              <w:rPr>
                <w:b w:val="false"/>
                <w:bCs w:val="false"/>
                <w:color w:val="666666"/>
                <w:sz w:val="20"/>
                <w:szCs w:val="20"/>
              </w:rPr>
              <w:t xml:space="preserve">Win on category framing, delivery moat, and speed</w:t>
            </w:r>
          </w:p>
        </w:tc>
      </w:tr>
      <w:tr>
        <w:tc>
          <w:tcPr>
            <w:tcW w:type="dxa" w:w="2500"/>
            <w:tcMar>
              <w:top w:type="dxa" w:w="80"/>
              <w:left w:type="dxa" w:w="100"/>
              <w:bottom w:type="dxa" w:w="80"/>
              <w:right w:type="dxa" w:w="100"/>
            </w:tcMar>
            <w:vAlign w:val="center"/>
          </w:tcPr>
          <w:p>
            <w:r>
              <w:rPr>
                <w:b w:val="false"/>
                <w:bCs w:val="false"/>
                <w:color w:val="666666"/>
                <w:sz w:val="20"/>
                <w:szCs w:val="20"/>
              </w:rPr>
              <w:t xml:space="preserve">Voice-AI cost spike erodes margin</w:t>
            </w:r>
          </w:p>
        </w:tc>
        <w:tc>
          <w:tcPr>
            <w:tcW w:type="dxa" w:w="1400"/>
            <w:tcMar>
              <w:top w:type="dxa" w:w="80"/>
              <w:left w:type="dxa" w:w="100"/>
              <w:bottom w:type="dxa" w:w="80"/>
              <w:right w:type="dxa" w:w="100"/>
            </w:tcMar>
            <w:vAlign w:val="center"/>
          </w:tcPr>
          <w:p>
            <w:r>
              <w:rPr>
                <w:b w:val="false"/>
                <w:bCs w:val="false"/>
                <w:color w:val="666666"/>
                <w:sz w:val="20"/>
                <w:szCs w:val="20"/>
              </w:rPr>
              <w:t xml:space="preserve">Medium</w:t>
            </w:r>
          </w:p>
        </w:tc>
        <w:tc>
          <w:tcPr>
            <w:tcW w:type="dxa" w:w="1400"/>
            <w:tcMar>
              <w:top w:type="dxa" w:w="80"/>
              <w:left w:type="dxa" w:w="100"/>
              <w:bottom w:type="dxa" w:w="80"/>
              <w:right w:type="dxa" w:w="100"/>
            </w:tcMar>
            <w:vAlign w:val="center"/>
          </w:tcPr>
          <w:p>
            <w:r>
              <w:rPr>
                <w:b w:val="false"/>
                <w:bCs w:val="false"/>
                <w:color w:val="666666"/>
                <w:sz w:val="20"/>
                <w:szCs w:val="20"/>
              </w:rPr>
              <w:t xml:space="preserve">Medium</w:t>
            </w:r>
          </w:p>
        </w:tc>
        <w:tc>
          <w:tcPr>
            <w:tcW w:type="dxa" w:w="4060"/>
            <w:tcMar>
              <w:top w:type="dxa" w:w="80"/>
              <w:left w:type="dxa" w:w="100"/>
              <w:bottom w:type="dxa" w:w="80"/>
              <w:right w:type="dxa" w:w="100"/>
            </w:tcMar>
            <w:vAlign w:val="center"/>
          </w:tcPr>
          <w:p>
            <w:r>
              <w:rPr>
                <w:b w:val="false"/>
                <w:bCs w:val="false"/>
                <w:color w:val="666666"/>
                <w:sz w:val="20"/>
                <w:szCs w:val="20"/>
              </w:rPr>
              <w:t xml:space="preserve">Per-account metering; fair-use limits on entry tier</w:t>
            </w:r>
          </w:p>
        </w:tc>
      </w:tr>
      <w:tr>
        <w:tc>
          <w:tcPr>
            <w:tcW w:type="dxa" w:w="2500"/>
            <w:tcMar>
              <w:top w:type="dxa" w:w="80"/>
              <w:left w:type="dxa" w:w="100"/>
              <w:bottom w:type="dxa" w:w="80"/>
              <w:right w:type="dxa" w:w="100"/>
            </w:tcMar>
            <w:vAlign w:val="center"/>
          </w:tcPr>
          <w:p>
            <w:r>
              <w:rPr>
                <w:b w:val="false"/>
                <w:bCs w:val="false"/>
                <w:color w:val="666666"/>
                <w:sz w:val="20"/>
                <w:szCs w:val="20"/>
              </w:rPr>
              <w:t xml:space="preserve">Single-metro concentration</w:t>
            </w:r>
          </w:p>
        </w:tc>
        <w:tc>
          <w:tcPr>
            <w:tcW w:type="dxa" w:w="1400"/>
            <w:tcMar>
              <w:top w:type="dxa" w:w="80"/>
              <w:left w:type="dxa" w:w="100"/>
              <w:bottom w:type="dxa" w:w="80"/>
              <w:right w:type="dxa" w:w="100"/>
            </w:tcMar>
            <w:vAlign w:val="center"/>
          </w:tcPr>
          <w:p>
            <w:r>
              <w:rPr>
                <w:b w:val="false"/>
                <w:bCs w:val="false"/>
                <w:color w:val="666666"/>
                <w:sz w:val="20"/>
                <w:szCs w:val="20"/>
              </w:rPr>
              <w:t xml:space="preserve">Medium</w:t>
            </w:r>
          </w:p>
        </w:tc>
        <w:tc>
          <w:tcPr>
            <w:tcW w:type="dxa" w:w="1400"/>
            <w:tcMar>
              <w:top w:type="dxa" w:w="80"/>
              <w:left w:type="dxa" w:w="100"/>
              <w:bottom w:type="dxa" w:w="80"/>
              <w:right w:type="dxa" w:w="100"/>
            </w:tcMar>
            <w:vAlign w:val="center"/>
          </w:tcPr>
          <w:p>
            <w:r>
              <w:rPr>
                <w:b w:val="false"/>
                <w:bCs w:val="false"/>
                <w:color w:val="666666"/>
                <w:sz w:val="20"/>
                <w:szCs w:val="20"/>
              </w:rPr>
              <w:t xml:space="preserve">Medium</w:t>
            </w:r>
          </w:p>
        </w:tc>
        <w:tc>
          <w:tcPr>
            <w:tcW w:type="dxa" w:w="4060"/>
            <w:tcMar>
              <w:top w:type="dxa" w:w="80"/>
              <w:left w:type="dxa" w:w="100"/>
              <w:bottom w:type="dxa" w:w="80"/>
              <w:right w:type="dxa" w:w="100"/>
            </w:tcMar>
            <w:vAlign w:val="center"/>
          </w:tcPr>
          <w:p>
            <w:r>
              <w:rPr>
                <w:b w:val="false"/>
                <w:bCs w:val="false"/>
                <w:color w:val="666666"/>
                <w:sz w:val="20"/>
                <w:szCs w:val="20"/>
              </w:rPr>
              <w:t xml:space="preserve">Replicate to metro two within 16–24 months</w:t>
            </w:r>
          </w:p>
        </w:tc>
      </w:tr>
      <w:tr>
        <w:tc>
          <w:tcPr>
            <w:tcW w:type="dxa" w:w="2500"/>
            <w:tcMar>
              <w:top w:type="dxa" w:w="80"/>
              <w:left w:type="dxa" w:w="100"/>
              <w:bottom w:type="dxa" w:w="80"/>
              <w:right w:type="dxa" w:w="100"/>
            </w:tcMar>
            <w:vAlign w:val="center"/>
          </w:tcPr>
          <w:p>
            <w:r>
              <w:rPr>
                <w:b w:val="false"/>
                <w:bCs w:val="false"/>
                <w:color w:val="666666"/>
                <w:sz w:val="20"/>
                <w:szCs w:val="20"/>
              </w:rPr>
              <w:t xml:space="preserve">Key-person dependence</w:t>
            </w:r>
          </w:p>
        </w:tc>
        <w:tc>
          <w:tcPr>
            <w:tcW w:type="dxa" w:w="1400"/>
            <w:tcMar>
              <w:top w:type="dxa" w:w="80"/>
              <w:left w:type="dxa" w:w="100"/>
              <w:bottom w:type="dxa" w:w="80"/>
              <w:right w:type="dxa" w:w="100"/>
            </w:tcMar>
            <w:vAlign w:val="center"/>
          </w:tcPr>
          <w:p>
            <w:r>
              <w:rPr>
                <w:b w:val="false"/>
                <w:bCs w:val="false"/>
                <w:color w:val="666666"/>
                <w:sz w:val="20"/>
                <w:szCs w:val="20"/>
              </w:rPr>
              <w:t xml:space="preserve">Medium</w:t>
            </w:r>
          </w:p>
        </w:tc>
        <w:tc>
          <w:tcPr>
            <w:tcW w:type="dxa" w:w="1400"/>
            <w:tcMar>
              <w:top w:type="dxa" w:w="80"/>
              <w:left w:type="dxa" w:w="100"/>
              <w:bottom w:type="dxa" w:w="80"/>
              <w:right w:type="dxa" w:w="100"/>
            </w:tcMar>
            <w:vAlign w:val="center"/>
          </w:tcPr>
          <w:p>
            <w:r>
              <w:rPr>
                <w:b w:val="false"/>
                <w:bCs w:val="false"/>
                <w:color w:val="666666"/>
                <w:sz w:val="20"/>
                <w:szCs w:val="20"/>
              </w:rPr>
              <w:t xml:space="preserve">High</w:t>
            </w:r>
          </w:p>
        </w:tc>
        <w:tc>
          <w:tcPr>
            <w:tcW w:type="dxa" w:w="4060"/>
            <w:tcMar>
              <w:top w:type="dxa" w:w="80"/>
              <w:left w:type="dxa" w:w="100"/>
              <w:bottom w:type="dxa" w:w="80"/>
              <w:right w:type="dxa" w:w="100"/>
            </w:tcMar>
            <w:vAlign w:val="center"/>
          </w:tcPr>
          <w:p>
            <w:r>
              <w:rPr>
                <w:b w:val="false"/>
                <w:bCs w:val="false"/>
                <w:color w:val="666666"/>
                <w:sz w:val="20"/>
                <w:szCs w:val="20"/>
              </w:rPr>
              <w:t xml:space="preserve">Documented systems, cross-training, fractional backfill</w:t>
            </w:r>
          </w:p>
        </w:tc>
      </w:tr>
    </w:tbl>
    <w:p>
      <w:pPr>
        <w:spacing w:after="200" w:before="160"/>
      </w:pPr>
      <w:r>
        <w:rPr>
          <w:color w:val="666666"/>
        </w:rPr>
        <w:t xml:space="preserve">The three risks managed most actively from day one are conversion, compliance, and incumbent encroachment.</w:t>
      </w:r>
    </w:p>
    <w:p>
      <w:pPr>
        <w:pStyle w:val="Heading1"/>
        <w:spacing w:after="240" w:before="400"/>
      </w:pPr>
      <w:r>
        <w:rPr>
          <w:color w:val="666666"/>
        </w:rPr>
        <w:t xml:space="preserve">Growth &amp; Exit</w:t>
      </w:r>
    </w:p>
    <w:p>
      <w:pPr>
        <w:spacing w:after="200"/>
      </w:pPr>
      <w:r>
        <w:rPr>
          <w:b/>
          <w:bCs/>
          <w:color w:val="666666"/>
        </w:rPr>
        <w:t xml:space="preserve">The path is proven.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’s strategy is validated by the most valuable company in its space. ServiceTitan deliberately began in residential HVAC, plumbing, and electrical, dominated the niche, then expanded by acquisition into adjacent trades, reaching a December 2024 IPO at a $9.6 billion valuation on roughly $685 million of ARR with gross retention above 95% (SaaS Mag, 2026). Beachhead, then replicate, then platform is a proven path;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runs it earlier and far leaner.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7020"/>
      </w:tblGrid>
      <w:tr>
        <w:trPr>
          <w:tblHeader/>
        </w:trPr>
        <w:tc>
          <w:tcPr>
            <w:tcW w:type="dxa" w:w="2340"/>
            <w:shd w:fill="D9D9D9" w:color="auto" w:val="clear"/>
            <w:tcMar>
              <w:top w:type="dxa" w:w="80"/>
              <w:left w:type="dxa" w:w="100"/>
              <w:bottom w:type="dxa" w:w="80"/>
              <w:right w:type="dxa" w:w="100"/>
            </w:tcMar>
            <w:vAlign w:val="center"/>
          </w:tcPr>
          <w:p>
            <w:r>
              <w:rPr>
                <w:b/>
                <w:bCs/>
                <w:color w:val="666666"/>
                <w:sz w:val="20"/>
                <w:szCs w:val="20"/>
              </w:rPr>
              <w:t xml:space="preserve">Horizon</w:t>
            </w:r>
          </w:p>
        </w:tc>
        <w:tc>
          <w:tcPr>
            <w:tcW w:type="dxa" w:w="7020"/>
            <w:shd w:fill="D9D9D9" w:color="auto" w:val="clear"/>
            <w:tcMar>
              <w:top w:type="dxa" w:w="80"/>
              <w:left w:type="dxa" w:w="100"/>
              <w:bottom w:type="dxa" w:w="80"/>
              <w:right w:type="dxa" w:w="100"/>
            </w:tcMar>
            <w:vAlign w:val="center"/>
          </w:tcPr>
          <w:p>
            <w:r>
              <w:rPr>
                <w:b/>
                <w:bCs/>
                <w:color w:val="666666"/>
                <w:sz w:val="20"/>
                <w:szCs w:val="20"/>
              </w:rPr>
              <w:t xml:space="preserve">Milestone</w:t>
            </w:r>
          </w:p>
        </w:tc>
      </w:tr>
      <w:tr>
        <w:tc>
          <w:tcPr>
            <w:tcW w:type="dxa" w:w="2340"/>
            <w:tcMar>
              <w:top w:type="dxa" w:w="80"/>
              <w:left w:type="dxa" w:w="100"/>
              <w:bottom w:type="dxa" w:w="80"/>
              <w:right w:type="dxa" w:w="100"/>
            </w:tcMar>
            <w:vAlign w:val="center"/>
          </w:tcPr>
          <w:p>
            <w:r>
              <w:rPr>
                <w:b w:val="false"/>
                <w:bCs w:val="false"/>
                <w:color w:val="666666"/>
                <w:sz w:val="20"/>
                <w:szCs w:val="20"/>
              </w:rPr>
              <w:t xml:space="preserve">Year 1</w:t>
            </w:r>
          </w:p>
        </w:tc>
        <w:tc>
          <w:tcPr>
            <w:tcW w:type="dxa" w:w="7020"/>
            <w:tcMar>
              <w:top w:type="dxa" w:w="80"/>
              <w:left w:type="dxa" w:w="100"/>
              <w:bottom w:type="dxa" w:w="80"/>
              <w:right w:type="dxa" w:w="100"/>
            </w:tcMar>
            <w:vAlign w:val="center"/>
          </w:tcPr>
          <w:p>
            <w:r>
              <w:rPr>
                <w:b w:val="false"/>
                <w:bCs w:val="false"/>
                <w:color w:val="666666"/>
                <w:sz w:val="20"/>
                <w:szCs w:val="20"/>
              </w:rPr>
              <w:t xml:space="preserve">Dominate Phoenix HVAC; validate the funnel</w:t>
            </w:r>
          </w:p>
        </w:tc>
      </w:tr>
      <w:tr>
        <w:tc>
          <w:tcPr>
            <w:tcW w:type="dxa" w:w="2340"/>
            <w:tcMar>
              <w:top w:type="dxa" w:w="80"/>
              <w:left w:type="dxa" w:w="100"/>
              <w:bottom w:type="dxa" w:w="80"/>
              <w:right w:type="dxa" w:w="100"/>
            </w:tcMar>
            <w:vAlign w:val="center"/>
          </w:tcPr>
          <w:p>
            <w:r>
              <w:rPr>
                <w:b w:val="false"/>
                <w:bCs w:val="false"/>
                <w:color w:val="666666"/>
                <w:sz w:val="20"/>
                <w:szCs w:val="20"/>
              </w:rPr>
              <w:t xml:space="preserve">Year 2</w:t>
            </w:r>
          </w:p>
        </w:tc>
        <w:tc>
          <w:tcPr>
            <w:tcW w:type="dxa" w:w="7020"/>
            <w:tcMar>
              <w:top w:type="dxa" w:w="80"/>
              <w:left w:type="dxa" w:w="100"/>
              <w:bottom w:type="dxa" w:w="80"/>
              <w:right w:type="dxa" w:w="100"/>
            </w:tcMar>
            <w:vAlign w:val="center"/>
          </w:tcPr>
          <w:p>
            <w:r>
              <w:rPr>
                <w:b w:val="false"/>
                <w:bCs w:val="false"/>
                <w:color w:val="666666"/>
                <w:sz w:val="20"/>
                <w:szCs w:val="20"/>
              </w:rPr>
              <w:t xml:space="preserve">Replicate to Tampa plumbing, then DFW roofing; first hires</w:t>
            </w:r>
          </w:p>
        </w:tc>
      </w:tr>
      <w:tr>
        <w:tc>
          <w:tcPr>
            <w:tcW w:type="dxa" w:w="2340"/>
            <w:tcMar>
              <w:top w:type="dxa" w:w="80"/>
              <w:left w:type="dxa" w:w="100"/>
              <w:bottom w:type="dxa" w:w="80"/>
              <w:right w:type="dxa" w:w="100"/>
            </w:tcMar>
            <w:vAlign w:val="center"/>
          </w:tcPr>
          <w:p>
            <w:r>
              <w:rPr>
                <w:b w:val="false"/>
                <w:bCs w:val="false"/>
                <w:color w:val="666666"/>
                <w:sz w:val="20"/>
                <w:szCs w:val="20"/>
              </w:rPr>
              <w:t xml:space="preserve">Year 3</w:t>
            </w:r>
          </w:p>
        </w:tc>
        <w:tc>
          <w:tcPr>
            <w:tcW w:type="dxa" w:w="7020"/>
            <w:tcMar>
              <w:top w:type="dxa" w:w="80"/>
              <w:left w:type="dxa" w:w="100"/>
              <w:bottom w:type="dxa" w:w="80"/>
              <w:right w:type="dxa" w:w="100"/>
            </w:tcMar>
            <w:vAlign w:val="center"/>
          </w:tcPr>
          <w:p>
            <w:r>
              <w:rPr>
                <w:b w:val="false"/>
                <w:bCs w:val="false"/>
                <w:color w:val="666666"/>
                <w:sz w:val="20"/>
                <w:szCs w:val="20"/>
              </w:rPr>
              <w:t xml:space="preserve">Multi-trade, multi-metro across the Sun Belt</w:t>
            </w:r>
          </w:p>
        </w:tc>
      </w:tr>
      <w:tr>
        <w:tc>
          <w:tcPr>
            <w:tcW w:type="dxa" w:w="2340"/>
            <w:tcMar>
              <w:top w:type="dxa" w:w="80"/>
              <w:left w:type="dxa" w:w="100"/>
              <w:bottom w:type="dxa" w:w="80"/>
              <w:right w:type="dxa" w:w="100"/>
            </w:tcMar>
            <w:vAlign w:val="center"/>
          </w:tcPr>
          <w:p>
            <w:r>
              <w:rPr>
                <w:b w:val="false"/>
                <w:bCs w:val="false"/>
                <w:color w:val="666666"/>
                <w:sz w:val="20"/>
                <w:szCs w:val="20"/>
              </w:rPr>
              <w:t xml:space="preserve">Year 5</w:t>
            </w:r>
          </w:p>
        </w:tc>
        <w:tc>
          <w:tcPr>
            <w:tcW w:type="dxa" w:w="7020"/>
            <w:tcMar>
              <w:top w:type="dxa" w:w="80"/>
              <w:left w:type="dxa" w:w="100"/>
              <w:bottom w:type="dxa" w:w="80"/>
              <w:right w:type="dxa" w:w="100"/>
            </w:tcMar>
            <w:vAlign w:val="center"/>
          </w:tcPr>
          <w:p>
            <w:r>
              <w:rPr>
                <w:b w:val="false"/>
                <w:bCs w:val="false"/>
                <w:color w:val="666666"/>
                <w:sz w:val="20"/>
                <w:szCs w:val="20"/>
              </w:rPr>
              <w:t xml:space="preserve">National footprint; the full office-staff roster</w:t>
            </w:r>
          </w:p>
        </w:tc>
      </w:tr>
      <w:tr>
        <w:tc>
          <w:tcPr>
            <w:tcW w:type="dxa" w:w="2340"/>
            <w:tcMar>
              <w:top w:type="dxa" w:w="80"/>
              <w:left w:type="dxa" w:w="100"/>
              <w:bottom w:type="dxa" w:w="80"/>
              <w:right w:type="dxa" w:w="100"/>
            </w:tcMar>
            <w:vAlign w:val="center"/>
          </w:tcPr>
          <w:p>
            <w:r>
              <w:rPr>
                <w:b w:val="false"/>
                <w:bCs w:val="false"/>
                <w:color w:val="666666"/>
                <w:sz w:val="20"/>
                <w:szCs w:val="20"/>
              </w:rPr>
              <w:t xml:space="preserve">Year 10</w:t>
            </w:r>
          </w:p>
        </w:tc>
        <w:tc>
          <w:tcPr>
            <w:tcW w:type="dxa" w:w="7020"/>
            <w:tcMar>
              <w:top w:type="dxa" w:w="80"/>
              <w:left w:type="dxa" w:w="100"/>
              <w:bottom w:type="dxa" w:w="80"/>
              <w:right w:type="dxa" w:w="100"/>
            </w:tcMar>
            <w:vAlign w:val="center"/>
          </w:tcPr>
          <w:p>
            <w:r>
              <w:rPr>
                <w:b w:val="false"/>
                <w:bCs w:val="false"/>
                <w:color w:val="666666"/>
                <w:sz w:val="20"/>
                <w:szCs w:val="20"/>
              </w:rPr>
              <w:t xml:space="preserve">The operating system for home-service offices</w:t>
            </w:r>
          </w:p>
        </w:tc>
      </w:tr>
    </w:tbl>
    <w:p>
      <w:pPr>
        <w:spacing w:after="200" w:before="160"/>
      </w:pPr>
      <w:r>
        <w:rPr>
          <w:color w:val="666666"/>
        </w:rPr>
        <w:t xml:space="preserve">ServiceTitan’s largest expansion lever was not more seats but embedded payments, now roughly a quarter of its revenue. Once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 sits inside the contractor’s cash flow, payments and financing become a substantial future revenue line atop subscriptions, optionality, not Year-1 scope.</w:t>
      </w:r>
    </w:p>
    <w:p>
      <w:pPr>
        <w:spacing w:after="200"/>
      </w:pPr>
      <w:r>
        <w:rPr>
          <w:b/>
          <w:bCs/>
          <w:color w:val="666666"/>
        </w:rPr>
        <w:t xml:space="preserve">Exit is optionality, not a plan. </w:t>
      </w:r>
      <w:r>
        <w:rPr>
          <w:color w:val="666666"/>
        </w:rPr>
        <w:t xml:space="preserve">At pre-launch, the value-maximizing move is not selecting an exit but building the retention flywheel, since Net Revenue Retention is the single largest driver of multiple. Current comparables place median SaaS exits near 4.5 times revenue, bootstrapped lower-middle-market companies at 3 to 5 times, and premium vertical SaaS with strong retention at 7 to 9 times; ServiceTitan commanded roughly 12 times forward revenue at IPO scale (Aventis, Windsor Drake, SaaS Mag, 2026).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color w:val="666666"/>
        </w:rPr>
        <w:t xml:space="preserve">’s approximately 87% modeled margin sits favorably, though the premium accrues above roughly $10 million of ARR with a proven flywheel.</w:t>
      </w:r>
    </w:p>
    <w:p>
      <w:pPr>
        <w:spacing w:after="200"/>
      </w:pPr>
      <w:r>
        <w:rPr>
          <w:color w:val="666666"/>
        </w:rPr>
        <w:t xml:space="preserve">The realistic paths, honestly staged: a high-margin cash-flow business that need never sell; a strategic acquisition by a CRM, field-service, or roll-up buyer at $1 to $5 million ARR, the most likely early outcome; private equity at greater scale with strong retention; and, distantly, a public path on the ServiceTitan model. Two moves raise the multiple under any path and are therefore pursued regardless: proving low churn with real expansion, and reducing concentration across metros and trades. The founder’s position is that the model can be a self-funding business that never needs to sell, and that optionality, not any single exit, is the goal.</w:t>
      </w:r>
    </w:p>
    <w:p>
      <w:pPr>
        <w:spacing w:after="200"/>
      </w:pPr>
      <w:r>
        <w:rPr>
          <w:i/>
          <w:iCs/>
          <w:color w:val="666666"/>
        </w:rPr>
        <w:t xml:space="preserve">Sources: SaaS Mag, Aventis Advisors, Windsor Drake, Sacra, Meritech (2026).</w:t>
      </w:r>
    </w:p>
    <w:p>
      <w:pPr>
        <w:pStyle w:val="Heading1"/>
        <w:spacing w:after="240" w:before="400"/>
      </w:pPr>
      <w:r>
        <w:rPr>
          <w:color w:val="666666"/>
        </w:rPr>
        <w:t xml:space="preserve">Appendix: Investor Diligence FAQ</w:t>
      </w:r>
    </w:p>
    <w:p>
      <w:pPr>
        <w:spacing w:after="200"/>
      </w:pPr>
      <w:r>
        <w:rPr>
          <w:i/>
          <w:iCs/>
          <w:color w:val="666666"/>
        </w:rPr>
        <w:t xml:space="preserve">Prepared responses to the questions investors ask most often. These are diligence questions, not objections. Every answer focuses on how </w:t>
      </w:r>
      <w:r>
        <w:rPr>
          <w:rFonts w:ascii="Garamond" w:cs="Garamond" w:eastAsia="Garamond" w:hAnsi="Garamond"/>
          <w:i/>
          <w:iCs/>
          <w:color w:val="434343"/>
          <w:sz w:val="24"/>
          <w:szCs w:val="24"/>
        </w:rPr>
        <w:t xml:space="preserve">Web</w:t>
      </w:r>
      <w:r>
        <w:rPr>
          <w:rFonts w:ascii="Garamond" w:cs="Garamond" w:eastAsia="Garamond" w:hAnsi="Garamond"/>
          <w:b/>
          <w:bCs/>
          <w:i/>
          <w:iCs/>
          <w:color w:val="05427A"/>
          <w:sz w:val="24"/>
          <w:szCs w:val="24"/>
        </w:rPr>
        <w:t xml:space="preserve">Staffr</w:t>
      </w:r>
      <w:r>
        <w:rPr>
          <w:i/>
          <w:iCs/>
          <w:color w:val="666666"/>
        </w:rPr>
        <w:t xml:space="preserve"> measures, learns, and adapts rather than claiming certainty.</w:t>
      </w:r>
    </w:p>
    <w:p>
      <w:pPr>
        <w:spacing w:after="200"/>
      </w:pPr>
      <w:r>
        <w:rPr>
          <w:b/>
          <w:bCs/>
          <w:color w:val="666666"/>
        </w:rPr>
        <w:t xml:space="preserve">Can the AI receptionist consistently outperform voicemail? </w:t>
      </w:r>
      <w:r>
        <w:rPr>
          <w:color w:val="666666"/>
        </w:rPr>
        <w:t xml:space="preserve">It does not have to outperform a great human receptionist, it only needs to outperform voicemail, which is the current reality for most contractors. If a contractor misses 25 to 30% of incoming calls today, answering those calls immediately, even if only half convert, is already a meaningful improvement. We are competing against missed opportunities, not perfect receptionists. Answer rate, booking rate, customer satisfaction, and escalation rate are measured from day one.</w:t>
      </w:r>
    </w:p>
    <w:p>
      <w:pPr>
        <w:spacing w:after="200"/>
      </w:pPr>
      <w:r>
        <w:rPr>
          <w:b/>
          <w:bCs/>
          <w:color w:val="666666"/>
        </w:rPr>
        <w:t xml:space="preserve">How defensible are the trade-specific playbooks? </w:t>
      </w:r>
      <w:r>
        <w:rPr>
          <w:color w:val="666666"/>
        </w:rPr>
        <w:t xml:space="preserve">The LLM is not the moat, the operational knowledge is. Every contractor has different objections, pricing language, emergency scenarios, scheduling constraints, and service areas. The longer we operate inside HVAC, plumbing, roofing, and electrical, the harder we become to copy, because we are accumulating proprietary operating procedures, not just prompts.</w:t>
      </w:r>
    </w:p>
    <w:p>
      <w:pPr>
        <w:spacing w:after="200"/>
      </w:pPr>
      <w:r>
        <w:rPr>
          <w:b/>
          <w:bCs/>
          <w:color w:val="666666"/>
        </w:rPr>
        <w:t xml:space="preserve">Can you really deliver a quality website in minutes? </w:t>
      </w:r>
      <w:r>
        <w:rPr>
          <w:color w:val="666666"/>
        </w:rPr>
        <w:t xml:space="preserve">We are not trying to win design awards. We are trying to create a website that converts homeowners and gives the contractor a professional online presence. Automation gets us 90 to 95% of the way there. We keep a human quality checkpoint before the reveal because that is the highest-leverage moment in the funnel.</w:t>
      </w:r>
    </w:p>
    <w:p>
      <w:pPr>
        <w:spacing w:after="200"/>
      </w:pPr>
      <w:r>
        <w:rPr>
          <w:b/>
          <w:bCs/>
          <w:color w:val="666666"/>
        </w:rPr>
        <w:t xml:space="preserve">Will contractors convert at the rate you have modeled? </w:t>
      </w:r>
      <w:r>
        <w:rPr>
          <w:color w:val="666666"/>
        </w:rPr>
        <w:t xml:space="preserve">We do not know yet, and that is intentional. The 15% free-to-paid assumption is a model, not a belief. The company is designed to validate this assumption in the first 50 builds before scaling paid acquisition. If it comes in at 8%, we adjust the funnel. If it comes in at 22%, we accelerate.</w:t>
      </w:r>
    </w:p>
    <w:p>
      <w:pPr>
        <w:spacing w:after="200"/>
      </w:pPr>
      <w:r>
        <w:rPr>
          <w:b/>
          <w:bCs/>
          <w:color w:val="666666"/>
        </w:rPr>
        <w:t xml:space="preserve">Why give away the website? </w:t>
      </w:r>
      <w:r>
        <w:rPr>
          <w:color w:val="666666"/>
        </w:rPr>
        <w:t xml:space="preserve">Because the website is not our product, it is our customer acquisition cost.</w:t>
      </w:r>
    </w:p>
    <w:p>
      <w:pPr>
        <w:spacing w:after="200"/>
      </w:pPr>
      <w:r>
        <w:rPr>
          <w:b/>
          <w:bCs/>
          <w:color w:val="666666"/>
        </w:rPr>
        <w:t xml:space="preserve">What happens when ServiceTitan or another incumbent builds this? </w:t>
      </w:r>
      <w:r>
        <w:rPr>
          <w:color w:val="666666"/>
        </w:rPr>
        <w:t xml:space="preserve">We expect they will, and large incumbents validating the category actually helps us. Our advantage is not that they cannot build AI. It is that we are focused exclusively on becoming the front office for contractors while they optimize enterprise field-service management for established businesses with large teams.</w:t>
      </w:r>
    </w:p>
    <w:p>
      <w:pPr>
        <w:spacing w:after="200"/>
      </w:pPr>
      <w:r>
        <w:rPr>
          <w:b/>
          <w:bCs/>
          <w:color w:val="666666"/>
        </w:rPr>
        <w:t xml:space="preserve">Why won’t a foundation model provider just do this? </w:t>
      </w:r>
      <w:r>
        <w:rPr>
          <w:color w:val="666666"/>
        </w:rPr>
        <w:t xml:space="preserve">Foundation model providers build horizontal infrastructure. We build a vertical operating system for contractor offices. That is like asking why AWS did not build ServiceTitan.</w:t>
      </w:r>
    </w:p>
    <w:p>
      <w:pPr>
        <w:spacing w:after="200"/>
      </w:pPr>
      <w:r>
        <w:rPr>
          <w:b/>
          <w:bCs/>
          <w:color w:val="666666"/>
        </w:rPr>
        <w:t xml:space="preserve">Is this really venture-scale? </w:t>
      </w:r>
      <w:r>
        <w:rPr>
          <w:color w:val="666666"/>
        </w:rPr>
        <w:t xml:space="preserve">A receptionist gets us in the door. Once we are trusted with calls, the natural expansion is scheduling, reviews, payments, memberships, financing, maintenance reminders, estimates, renewals, and collections. The receptionist is not the company, it is the wedge.</w:t>
      </w:r>
    </w:p>
    <w:p>
      <w:pPr>
        <w:spacing w:after="200"/>
      </w:pPr>
      <w:r>
        <w:rPr>
          <w:b/>
          <w:bCs/>
          <w:color w:val="666666"/>
        </w:rPr>
        <w:t xml:space="preserve">Why won’t contractors just hire a virtual assistant? </w:t>
      </w:r>
      <w:r>
        <w:rPr>
          <w:color w:val="666666"/>
        </w:rPr>
        <w:t xml:space="preserve">Many already do. But contractors do not lose jobs because their receptionist is slow, they lose jobs because no one answers instantly, 24 hours a day, seven days a week. Software scales in a way staffing never can.</w:t>
      </w:r>
    </w:p>
    <w:p>
      <w:pPr>
        <w:spacing w:after="200"/>
      </w:pPr>
      <w:r>
        <w:rPr>
          <w:b/>
          <w:bCs/>
          <w:color w:val="666666"/>
        </w:rPr>
        <w:t xml:space="preserve">Isn’t AI getting cheaper for everyone? </w:t>
      </w:r>
      <w:r>
        <w:rPr>
          <w:color w:val="666666"/>
        </w:rPr>
        <w:t xml:space="preserve">Yes. That is exactly why we do not position AI as the moat. The moat is operational knowledge, customer relationships, trade-specific workflows, integrations, and accumulated data. The commodity is the inference; the value is what we have built on top of it.</w:t>
      </w:r>
    </w:p>
    <w:p>
      <w:pPr>
        <w:spacing w:after="200"/>
      </w:pPr>
      <w:r>
        <w:rPr>
          <w:i/>
          <w:iCs/>
          <w:color w:val="666666"/>
        </w:rPr>
        <w:t xml:space="preserve">This FAQ is designed to support consistent, credible responses during investor conversations. It will expand to 20 to 30 questions as additional diligence arises.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2026-07-19T11:13:27.614Z</dcterms:created>
  <dcterms:modified xsi:type="dcterms:W3CDTF">2026-07-19T11:13:27.614Z</dcterms:modified>
</cp:coreProperties>
</file>

<file path=docProps/custom.xml><?xml version="1.0" encoding="utf-8"?>
<Properties xmlns="http://schemas.openxmlformats.org/officeDocument/2006/custom-properties" xmlns:vt="http://schemas.openxmlformats.org/officeDocument/2006/docPropsVTypes"/>
</file>