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i/>
          <w:iCs/>
          <w:color w:val="1A1A1A"/>
          <w:sz w:val="56"/>
          <w:szCs w:val="56"/>
        </w:rPr>
        <w:t xml:space="preserve">WebStaffr</w:t>
      </w:r>
    </w:p>
    <w:p>
      <w:pPr>
        <w:spacing w:after="40"/>
        <w:jc w:val="center"/>
      </w:pPr>
      <w:r>
        <w:rPr>
          <w:b/>
          <w:bCs/>
          <w:i/>
          <w:iCs/>
          <w:color w:val="8A6A28"/>
          <w:sz w:val="28"/>
          <w:szCs w:val="28"/>
        </w:rPr>
        <w:t xml:space="preserve">Principled Development and Investing</w:t>
      </w:r>
    </w:p>
    <w:p>
      <w:pPr>
        <w:spacing w:after="40"/>
        <w:jc w:val="center"/>
      </w:pPr>
      <w:r>
        <w:rPr>
          <w:b/>
          <w:bCs/>
          <w:i/>
          <w:iCs/>
          <w:color w:val="1A1A1A"/>
          <w:sz w:val="21"/>
          <w:szCs w:val="21"/>
        </w:rPr>
        <w:t xml:space="preserve">We Don't Sell Technology. We Recover Revenue.</w:t>
      </w:r>
    </w:p>
    <w:p>
      <w:pPr>
        <w:spacing w:after="300"/>
        <w:jc w:val="center"/>
      </w:pPr>
      <w:r>
        <w:rPr>
          <w:i/>
          <w:iCs/>
          <w:color w:val="555555"/>
          <w:sz w:val="20"/>
          <w:szCs w:val="20"/>
        </w:rPr>
        <w:t xml:space="preserve">July 14, 2026</w:t>
      </w:r>
    </w:p>
    <w:p>
      <w:pPr>
        <w:pBdr>
          <w:bottom w:val="single" w:color="CCCCCC" w:sz="4" w:space="4"/>
        </w:pBdr>
        <w:spacing w:after="160" w:before="320"/>
      </w:pPr>
      <w:r>
        <w:rPr>
          <w:b/>
          <w:bCs/>
          <w:i w:val="false"/>
          <w:iCs w:val="false"/>
          <w:color w:val="1A1A1A"/>
          <w:sz w:val="26"/>
          <w:szCs w:val="26"/>
        </w:rPr>
        <w:t xml:space="preserve">What </w:t>
      </w:r>
      <w:r>
        <w:rPr>
          <w:rFonts w:ascii="Cormorant Garamond" w:cs="Cormorant Garamond" w:eastAsia="Cormorant Garamond" w:hAnsi="Cormorant Garamond"/>
          <w:b/>
          <w:bCs/>
          <w:i/>
          <w:iCs/>
          <w:color w:val="1A1A1A"/>
          <w:sz w:val="26"/>
          <w:szCs w:val="26"/>
        </w:rPr>
        <w:t xml:space="preserve">WebStaffr</w:t>
      </w:r>
      <w:r>
        <w:rPr>
          <w:b/>
          <w:bCs/>
          <w:i w:val="false"/>
          <w:iCs w:val="false"/>
          <w:color w:val="1A1A1A"/>
          <w:sz w:val="26"/>
          <w:szCs w:val="26"/>
        </w:rPr>
        <w:t xml:space="preserve"> Is</w:t>
      </w:r>
    </w:p>
    <w:p>
      <w:pPr>
        <w:spacing w:after="160"/>
      </w:pP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staffs the front office for home-service contractors, starting with HVAC. Twenty-seven percent of home-service calls go unanswered every day, and 85% of the people who leave a voicemail never call back; they call a competitor instead. </w:t>
      </w: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answers the call, books the job, and follows up, so that work is not lost.</w:t>
      </w:r>
    </w:p>
    <w:p>
      <w:pPr>
        <w:spacing w:after="160"/>
      </w:pPr>
      <w:r>
        <w:rPr>
          <w:b w:val="false"/>
          <w:bCs w:val="false"/>
          <w:i w:val="false"/>
          <w:iCs w:val="false"/>
          <w:color w:val="404040"/>
          <w:sz w:val="21"/>
          <w:szCs w:val="21"/>
        </w:rPr>
        <w:t xml:space="preserve">The rest of this document covers, in order: what a contractor buys, how the business gets its first customers, where the product actually stands today, the size of the market, the economics, who is building it, the risks, and the terms of this raise.</w:t>
      </w:r>
    </w:p>
    <w:p>
      <w:pPr>
        <w:pBdr>
          <w:bottom w:val="single" w:color="CCCCCC" w:sz="4" w:space="4"/>
        </w:pBdr>
        <w:spacing w:after="160" w:before="320"/>
      </w:pPr>
      <w:r>
        <w:rPr>
          <w:b/>
          <w:bCs/>
          <w:i w:val="false"/>
          <w:iCs w:val="false"/>
          <w:color w:val="1A1A1A"/>
          <w:sz w:val="26"/>
          <w:szCs w:val="26"/>
        </w:rPr>
        <w:t xml:space="preserve">The Product</w:t>
      </w:r>
    </w:p>
    <w:p>
      <w:pPr>
        <w:spacing w:after="160"/>
      </w:pPr>
      <w:r>
        <w:rPr>
          <w:b w:val="false"/>
          <w:bCs w:val="false"/>
          <w:i w:val="false"/>
          <w:iCs w:val="false"/>
          <w:color w:val="404040"/>
          <w:sz w:val="21"/>
          <w:szCs w:val="21"/>
        </w:rPr>
        <w:t xml:space="preserve">Office Staff is the primary plan and the target of acquisition spend. Business Manager is an upgrade sold to an existing Office Staff customer, not separately acquired.</w:t>
      </w:r>
    </w:p>
    <w:p>
      <w:pPr>
        <w:spacing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300"/>
        <w:gridCol w:w="1740"/>
      </w:tblGrid>
      <w:tr>
        <w:trPr>
          <w:tblHeader/>
        </w:trPr>
        <w:tc>
          <w:tcPr>
            <w:tcW w:type="dxa" w:w="1900"/>
            <w:shd w:fill="F2ECDE" w:val="clear"/>
            <w:tcMar>
              <w:top w:type="dxa" w:w="100"/>
              <w:left w:type="dxa" w:w="120"/>
              <w:bottom w:type="dxa" w:w="100"/>
              <w:right w:type="dxa" w:w="120"/>
            </w:tcMar>
          </w:tcPr>
          <w:p>
            <w:r>
              <w:rPr>
                <w:b/>
                <w:bCs/>
                <w:i w:val="false"/>
                <w:iCs w:val="false"/>
                <w:color w:val="1A1A1A"/>
                <w:sz w:val="21"/>
                <w:szCs w:val="21"/>
              </w:rPr>
              <w:t xml:space="preserve">Tier</w:t>
            </w:r>
          </w:p>
        </w:tc>
        <w:tc>
          <w:tcPr>
            <w:tcW w:type="dxa" w:w="1500"/>
            <w:shd w:fill="F2ECDE" w:val="clear"/>
            <w:tcMar>
              <w:top w:type="dxa" w:w="100"/>
              <w:left w:type="dxa" w:w="120"/>
              <w:bottom w:type="dxa" w:w="100"/>
              <w:right w:type="dxa" w:w="120"/>
            </w:tcMar>
          </w:tcPr>
          <w:p>
            <w:r>
              <w:rPr>
                <w:b/>
                <w:bCs/>
                <w:i w:val="false"/>
                <w:iCs w:val="false"/>
                <w:color w:val="1A1A1A"/>
                <w:sz w:val="21"/>
                <w:szCs w:val="21"/>
              </w:rPr>
              <w:t xml:space="preserve">Monthly Investment</w:t>
            </w:r>
          </w:p>
        </w:tc>
        <w:tc>
          <w:tcPr>
            <w:tcW w:type="dxa" w:w="5300"/>
            <w:shd w:fill="F2ECDE" w:val="clear"/>
            <w:tcMar>
              <w:top w:type="dxa" w:w="100"/>
              <w:left w:type="dxa" w:w="120"/>
              <w:bottom w:type="dxa" w:w="100"/>
              <w:right w:type="dxa" w:w="120"/>
            </w:tcMar>
          </w:tcPr>
          <w:p>
            <w:r>
              <w:rPr>
                <w:b/>
                <w:bCs/>
                <w:i w:val="false"/>
                <w:iCs w:val="false"/>
                <w:color w:val="1A1A1A"/>
                <w:sz w:val="21"/>
                <w:szCs w:val="21"/>
              </w:rPr>
              <w:t xml:space="preserve">Includes</w:t>
            </w:r>
          </w:p>
        </w:tc>
        <w:tc>
          <w:tcPr>
            <w:tcW w:type="dxa" w:w="1740"/>
            <w:shd w:fill="F2ECDE" w:val="clear"/>
            <w:tcMar>
              <w:top w:type="dxa" w:w="100"/>
              <w:left w:type="dxa" w:w="120"/>
              <w:bottom w:type="dxa" w:w="100"/>
              <w:right w:type="dxa" w:w="120"/>
            </w:tcMar>
          </w:tcPr>
          <w:p>
            <w:r>
              <w:rPr>
                <w:b/>
                <w:bCs/>
                <w:i w:val="false"/>
                <w:iCs w:val="false"/>
                <w:color w:val="1A1A1A"/>
                <w:sz w:val="21"/>
                <w:szCs w:val="21"/>
              </w:rPr>
              <w:t xml:space="preserve">Gross Profit</w:t>
            </w:r>
          </w:p>
        </w:tc>
      </w:tr>
      <w:tr>
        <w:tc>
          <w:tcPr>
            <w:tcW w:type="dxa" w:w="1900"/>
            <w:tcMar>
              <w:top w:type="dxa" w:w="100"/>
              <w:left w:type="dxa" w:w="120"/>
              <w:bottom w:type="dxa" w:w="100"/>
              <w:right w:type="dxa" w:w="120"/>
            </w:tcMar>
          </w:tcPr>
          <w:p>
            <w:r>
              <w:rPr>
                <w:b w:val="false"/>
                <w:bCs w:val="false"/>
                <w:i w:val="false"/>
                <w:iCs w:val="false"/>
                <w:color w:val="404040"/>
                <w:sz w:val="21"/>
                <w:szCs w:val="21"/>
              </w:rPr>
              <w:t xml:space="preserve">Office Staff (recommended)</w:t>
            </w:r>
          </w:p>
        </w:tc>
        <w:tc>
          <w:tcPr>
            <w:tcW w:type="dxa" w:w="1500"/>
            <w:tcMar>
              <w:top w:type="dxa" w:w="100"/>
              <w:left w:type="dxa" w:w="120"/>
              <w:bottom w:type="dxa" w:w="100"/>
              <w:right w:type="dxa" w:w="120"/>
            </w:tcMar>
          </w:tcPr>
          <w:p>
            <w:r>
              <w:rPr>
                <w:b w:val="false"/>
                <w:bCs w:val="false"/>
                <w:i w:val="false"/>
                <w:iCs w:val="false"/>
                <w:color w:val="404040"/>
                <w:sz w:val="21"/>
                <w:szCs w:val="21"/>
              </w:rPr>
              <w:t xml:space="preserve">$497/mo</w:t>
            </w:r>
          </w:p>
        </w:tc>
        <w:tc>
          <w:tcPr>
            <w:tcW w:type="dxa" w:w="5300"/>
            <w:tcMar>
              <w:top w:type="dxa" w:w="100"/>
              <w:left w:type="dxa" w:w="120"/>
              <w:bottom w:type="dxa" w:w="100"/>
              <w:right w:type="dxa" w:w="120"/>
            </w:tcMar>
          </w:tcPr>
          <w:p>
            <w:r>
              <w:rPr>
                <w:b w:val="false"/>
                <w:bCs w:val="false"/>
                <w:i w:val="false"/>
                <w:iCs w:val="false"/>
                <w:color w:val="404040"/>
                <w:sz w:val="21"/>
                <w:szCs w:val="21"/>
              </w:rPr>
              <w:t xml:space="preserve">Service Advisor, 24/7 Receptionist (phone and chat), Lead Coordinator, Reputation Manager, Website Operations Manager</w:t>
            </w:r>
          </w:p>
        </w:tc>
        <w:tc>
          <w:tcPr>
            <w:tcW w:type="dxa" w:w="1740"/>
            <w:tcMar>
              <w:top w:type="dxa" w:w="100"/>
              <w:left w:type="dxa" w:w="120"/>
              <w:bottom w:type="dxa" w:w="100"/>
              <w:right w:type="dxa" w:w="120"/>
            </w:tcMar>
          </w:tcPr>
          <w:p>
            <w:r>
              <w:rPr>
                <w:b w:val="false"/>
                <w:bCs w:val="false"/>
                <w:i w:val="false"/>
                <w:iCs w:val="false"/>
                <w:color w:val="404040"/>
                <w:sz w:val="21"/>
                <w:szCs w:val="21"/>
              </w:rPr>
              <w:t xml:space="preserve">$432/mo (87%)</w:t>
            </w:r>
          </w:p>
        </w:tc>
      </w:tr>
      <w:tr>
        <w:tc>
          <w:tcPr>
            <w:tcW w:type="dxa" w:w="1900"/>
            <w:tcMar>
              <w:top w:type="dxa" w:w="100"/>
              <w:left w:type="dxa" w:w="120"/>
              <w:bottom w:type="dxa" w:w="100"/>
              <w:right w:type="dxa" w:w="120"/>
            </w:tcMar>
          </w:tcPr>
          <w:p>
            <w:r>
              <w:rPr>
                <w:b w:val="false"/>
                <w:bCs w:val="false"/>
                <w:i w:val="false"/>
                <w:iCs w:val="false"/>
                <w:color w:val="404040"/>
                <w:sz w:val="21"/>
                <w:szCs w:val="21"/>
              </w:rPr>
              <w:t xml:space="preserve">Business Manager</w:t>
            </w:r>
          </w:p>
        </w:tc>
        <w:tc>
          <w:tcPr>
            <w:tcW w:type="dxa" w:w="1500"/>
            <w:tcMar>
              <w:top w:type="dxa" w:w="100"/>
              <w:left w:type="dxa" w:w="120"/>
              <w:bottom w:type="dxa" w:w="100"/>
              <w:right w:type="dxa" w:w="120"/>
            </w:tcMar>
          </w:tcPr>
          <w:p>
            <w:r>
              <w:rPr>
                <w:b w:val="false"/>
                <w:bCs w:val="false"/>
                <w:i w:val="false"/>
                <w:iCs w:val="false"/>
                <w:color w:val="404040"/>
                <w:sz w:val="21"/>
                <w:szCs w:val="21"/>
              </w:rPr>
              <w:t xml:space="preserve">$997/mo</w:t>
            </w:r>
          </w:p>
        </w:tc>
        <w:tc>
          <w:tcPr>
            <w:tcW w:type="dxa" w:w="5300"/>
            <w:tcMar>
              <w:top w:type="dxa" w:w="100"/>
              <w:left w:type="dxa" w:w="120"/>
              <w:bottom w:type="dxa" w:w="100"/>
              <w:right w:type="dxa" w:w="120"/>
            </w:tcMar>
          </w:tcPr>
          <w:p>
            <w:r>
              <w:rPr>
                <w:b w:val="false"/>
                <w:bCs w:val="false"/>
                <w:i w:val="false"/>
                <w:iCs w:val="false"/>
                <w:color w:val="404040"/>
                <w:sz w:val="21"/>
                <w:szCs w:val="21"/>
              </w:rPr>
              <w:t xml:space="preserve">Everything in Office Staff, plus Sales Consultant, Marketing Coordinator, Growth Manager</w:t>
            </w:r>
          </w:p>
        </w:tc>
        <w:tc>
          <w:tcPr>
            <w:tcW w:type="dxa" w:w="1740"/>
            <w:tcMar>
              <w:top w:type="dxa" w:w="100"/>
              <w:left w:type="dxa" w:w="120"/>
              <w:bottom w:type="dxa" w:w="100"/>
              <w:right w:type="dxa" w:w="120"/>
            </w:tcMar>
          </w:tcPr>
          <w:p>
            <w:r>
              <w:rPr>
                <w:b w:val="false"/>
                <w:bCs w:val="false"/>
                <w:i w:val="false"/>
                <w:iCs w:val="false"/>
                <w:color w:val="404040"/>
                <w:sz w:val="21"/>
                <w:szCs w:val="21"/>
              </w:rPr>
              <w:t xml:space="preserve">$877/mo (~88%) [Inference]</w:t>
            </w:r>
          </w:p>
        </w:tc>
      </w:tr>
    </w:tbl>
    <w:p>
      <w:pPr>
        <w:spacing w:after="200"/>
      </w:pPr>
    </w:p>
    <w:p>
      <w:pPr>
        <w:spacing w:after="160"/>
      </w:pPr>
      <w:r>
        <w:rPr>
          <w:b w:val="false"/>
          <w:bCs w:val="false"/>
          <w:i w:val="false"/>
          <w:iCs w:val="false"/>
          <w:color w:val="404040"/>
          <w:sz w:val="21"/>
          <w:szCs w:val="21"/>
        </w:rPr>
        <w:t xml:space="preserve">The handoff chain is the product: a lead lands on the website, the Service Advisor pre-qualifies it, the 24/7 Receptionist books the appointment by phone or chat, the Lead Coordinator follows up with anyone who didn't book, the Reputation Manager closes the loop after the job, and the Website Operations Manager keeps the site current.</w:t>
      </w:r>
    </w:p>
    <w:p>
      <w:pPr>
        <w:spacing w:after="160"/>
      </w:pPr>
      <w:r>
        <w:rPr>
          <w:b w:val="false"/>
          <w:bCs w:val="false"/>
          <w:i w:val="false"/>
          <w:iCs w:val="false"/>
          <w:color w:val="404040"/>
          <w:sz w:val="21"/>
          <w:szCs w:val="21"/>
        </w:rPr>
        <w:t xml:space="preserve">Office Staff is free for 30 days with the generated site. If the contractor wants to keep the site and workforce after 30 days: $497/mo. Business Manager is an upgrade tier, not a trial-tier product.</w:t>
      </w:r>
    </w:p>
    <w:p>
      <w:pPr>
        <w:spacing w:after="160"/>
      </w:pPr>
      <w:r>
        <w:rPr>
          <w:b w:val="false"/>
          <w:bCs w:val="false"/>
          <w:i w:val="false"/>
          <w:iCs w:val="false"/>
          <w:color w:val="404040"/>
          <w:sz w:val="21"/>
          <w:szCs w:val="21"/>
        </w:rPr>
        <w:t xml:space="preserve">ServiceTitan, Jobber, Housecall Pro, and similar field-service platforms are not upgrade paths or enterprise add-ons — they are baseline environment signals. A contractor already paying for and operating inside one of these tools is a warmer, faster-converting lead than one with no field-service software at all, because tool adoption implies a business large enough to systematize and already comfortable with SaaS workflow costs.</w:t>
      </w:r>
    </w:p>
    <w:p>
      <w:pPr>
        <w:pBdr>
          <w:bottom w:val="single" w:color="CCCCCC" w:sz="4" w:space="4"/>
        </w:pBdr>
        <w:spacing w:after="160" w:before="320"/>
      </w:pPr>
      <w:r>
        <w:rPr>
          <w:b/>
          <w:bCs/>
          <w:i w:val="false"/>
          <w:iCs w:val="false"/>
          <w:color w:val="1A1A1A"/>
          <w:sz w:val="26"/>
          <w:szCs w:val="26"/>
        </w:rPr>
        <w:t xml:space="preserve">The Free Website Builder Is the Lead Hook</w:t>
      </w:r>
    </w:p>
    <w:p>
      <w:pPr>
        <w:spacing w:after="160"/>
      </w:pPr>
      <w:r>
        <w:rPr>
          <w:b w:val="false"/>
          <w:bCs w:val="false"/>
          <w:i w:val="false"/>
          <w:iCs w:val="false"/>
          <w:color w:val="404040"/>
          <w:sz w:val="21"/>
          <w:szCs w:val="21"/>
        </w:rPr>
        <w:t xml:space="preserve">Every generated website is free to the contractor and costs </w:t>
      </w: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nothing extra to build, since the underlying toolchain already runs on free hosting and development tiers. A contractor claims a site, sees it live within minutes, and only afterward is offered the staff behind it. The free site brings the contractor in. The paid plans are the business built on top of that relationship.</w:t>
      </w:r>
    </w:p>
    <w:p>
      <w:pPr>
        <w:pBdr>
          <w:bottom w:val="single" w:color="CCCCCC" w:sz="4" w:space="4"/>
        </w:pBdr>
        <w:spacing w:after="160" w:before="320"/>
      </w:pPr>
      <w:r>
        <w:rPr>
          <w:b/>
          <w:bCs/>
          <w:i w:val="false"/>
          <w:iCs w:val="false"/>
          <w:color w:val="1A1A1A"/>
          <w:sz w:val="26"/>
          <w:szCs w:val="26"/>
        </w:rPr>
        <w:t xml:space="preserve">Current Status</w:t>
      </w:r>
    </w:p>
    <w:p>
      <w:pPr>
        <w:spacing w:after="160"/>
      </w:pPr>
      <w:r>
        <w:rPr>
          <w:b w:val="false"/>
          <w:bCs w:val="false"/>
          <w:i w:val="false"/>
          <w:iCs w:val="false"/>
          <w:color w:val="404040"/>
          <w:sz w:val="21"/>
          <w:szCs w:val="21"/>
        </w:rPr>
        <w:t xml:space="preserve">The backend is live and answering real customer inquiries in production, not a plan on paper.</w:t>
      </w:r>
    </w:p>
    <w:p>
      <w:pPr>
        <w:pStyle w:val="ListParagraph"/>
        <w:numPr>
          <w:ilvl w:val="0"/>
          <w:numId w:val="1"/>
        </w:numPr>
        <w:spacing w:after="100"/>
        <w:ind w:left="360"/>
      </w:pPr>
      <w:r>
        <w:rPr>
          <w:b w:val="false"/>
          <w:bCs w:val="false"/>
          <w:i w:val="false"/>
          <w:iCs w:val="false"/>
          <w:color w:val="404040"/>
          <w:sz w:val="21"/>
          <w:szCs w:val="21"/>
        </w:rPr>
        <w:t xml:space="preserve">Production backend: deployed and healthy. Confirmed responding at time of writing.</w:t>
      </w:r>
    </w:p>
    <w:p>
      <w:pPr>
        <w:pStyle w:val="ListParagraph"/>
        <w:numPr>
          <w:ilvl w:val="0"/>
          <w:numId w:val="1"/>
        </w:numPr>
        <w:spacing w:after="100"/>
        <w:ind w:left="360"/>
      </w:pPr>
      <w:r>
        <w:rPr>
          <w:b w:val="false"/>
          <w:bCs w:val="false"/>
          <w:i w:val="false"/>
          <w:iCs w:val="false"/>
          <w:color w:val="404040"/>
          <w:sz w:val="21"/>
          <w:szCs w:val="21"/>
        </w:rPr>
        <w:t xml:space="preserve">Intake-to-live-site pipeline: verified end to end, with no internal or sensitive data leaking into public output.</w:t>
      </w:r>
    </w:p>
    <w:p>
      <w:pPr>
        <w:pStyle w:val="ListParagraph"/>
        <w:numPr>
          <w:ilvl w:val="0"/>
          <w:numId w:val="1"/>
        </w:numPr>
        <w:spacing w:after="100"/>
        <w:ind w:left="360"/>
      </w:pPr>
      <w:r>
        <w:rPr>
          <w:b w:val="false"/>
          <w:bCs w:val="false"/>
          <w:i w:val="false"/>
          <w:iCs w:val="false"/>
          <w:color w:val="404040"/>
          <w:sz w:val="21"/>
          <w:szCs w:val="21"/>
        </w:rPr>
        <w:t xml:space="preserve">The Receptionist: live in production, answering with contextually relevant replies, not a scripted greeting.</w:t>
      </w:r>
    </w:p>
    <w:p>
      <w:pPr>
        <w:pStyle w:val="ListParagraph"/>
        <w:numPr>
          <w:ilvl w:val="0"/>
          <w:numId w:val="1"/>
        </w:numPr>
        <w:spacing w:after="100"/>
        <w:ind w:left="360"/>
      </w:pPr>
      <w:r>
        <w:rPr>
          <w:b w:val="false"/>
          <w:bCs w:val="false"/>
          <w:i w:val="false"/>
          <w:iCs w:val="false"/>
          <w:color w:val="404040"/>
          <w:sz w:val="21"/>
          <w:szCs w:val="21"/>
        </w:rPr>
        <w:t xml:space="preserve">Automated test suite: 149 of 149 tests passing.</w:t>
      </w:r>
    </w:p>
    <w:p>
      <w:pPr>
        <w:pStyle w:val="ListParagraph"/>
        <w:numPr>
          <w:ilvl w:val="0"/>
          <w:numId w:val="1"/>
        </w:numPr>
        <w:spacing w:after="100"/>
        <w:ind w:left="360"/>
      </w:pPr>
      <w:r>
        <w:rPr>
          <w:b w:val="false"/>
          <w:bCs w:val="false"/>
          <w:i w:val="false"/>
          <w:iCs w:val="false"/>
          <w:color w:val="404040"/>
          <w:sz w:val="21"/>
          <w:szCs w:val="21"/>
        </w:rPr>
        <w:t xml:space="preserve">Voice by telephone: built and unit-tested (Retell integration), not yet handling a live inbound call. The next milestone.</w:t>
      </w:r>
    </w:p>
    <w:p>
      <w:pPr>
        <w:pStyle w:val="ListParagraph"/>
        <w:numPr>
          <w:ilvl w:val="0"/>
          <w:numId w:val="1"/>
        </w:numPr>
        <w:spacing w:after="100"/>
        <w:ind w:left="360"/>
      </w:pPr>
      <w:r>
        <w:rPr>
          <w:b w:val="false"/>
          <w:bCs w:val="false"/>
          <w:i w:val="false"/>
          <w:iCs w:val="false"/>
          <w:color w:val="404040"/>
          <w:sz w:val="21"/>
          <w:szCs w:val="21"/>
        </w:rPr>
        <w:t xml:space="preserve">Customer-facing site builder: renders real contractor data correctly. Not yet public. Publishing is a short remaining step.</w:t>
      </w:r>
    </w:p>
    <w:p>
      <w:pPr>
        <w:pStyle w:val="ListParagraph"/>
        <w:numPr>
          <w:ilvl w:val="0"/>
          <w:numId w:val="1"/>
        </w:numPr>
        <w:spacing w:after="100"/>
        <w:ind w:left="360"/>
      </w:pPr>
      <w:r>
        <w:rPr>
          <w:b w:val="false"/>
          <w:bCs w:val="false"/>
          <w:i w:val="false"/>
          <w:iCs w:val="false"/>
          <w:color w:val="404040"/>
          <w:sz w:val="21"/>
          <w:szCs w:val="21"/>
        </w:rPr>
        <w:t xml:space="preserve">ServiceTitan integration: code-complete and test-covered (OAuth2 client, bounded read sync), ready for account-level activation. Not yet connected to a live ServiceTitan account.</w:t>
      </w:r>
    </w:p>
    <w:p>
      <w:pPr>
        <w:pStyle w:val="ListParagraph"/>
        <w:numPr>
          <w:ilvl w:val="0"/>
          <w:numId w:val="1"/>
        </w:numPr>
        <w:spacing w:after="100"/>
        <w:ind w:left="360"/>
      </w:pPr>
      <w:r>
        <w:rPr>
          <w:b w:val="false"/>
          <w:bCs w:val="false"/>
          <w:i w:val="false"/>
          <w:iCs w:val="false"/>
          <w:color w:val="404040"/>
          <w:sz w:val="21"/>
          <w:szCs w:val="21"/>
        </w:rPr>
        <w:t xml:space="preserve">CRM integration (GoHighLevel): not started. A deliberate sequencing choice — trial-clock timing, not a technical blocker.</w:t>
      </w:r>
    </w:p>
    <w:p>
      <w:pPr>
        <w:pBdr>
          <w:bottom w:val="single" w:color="CCCCCC" w:sz="4" w:space="4"/>
        </w:pBdr>
        <w:spacing w:after="160" w:before="320"/>
      </w:pPr>
      <w:r>
        <w:rPr>
          <w:b/>
          <w:bCs/>
          <w:i w:val="false"/>
          <w:iCs w:val="false"/>
          <w:color w:val="1A1A1A"/>
          <w:sz w:val="26"/>
          <w:szCs w:val="26"/>
        </w:rPr>
        <w:t xml:space="preserve">Market Opportunity</w:t>
      </w:r>
    </w:p>
    <w:p>
      <w:pPr>
        <w:pStyle w:val="ListParagraph"/>
        <w:numPr>
          <w:ilvl w:val="0"/>
          <w:numId w:val="1"/>
        </w:numPr>
        <w:spacing w:after="100"/>
        <w:ind w:left="360"/>
      </w:pPr>
      <w:r>
        <w:rPr>
          <w:b w:val="false"/>
          <w:bCs w:val="false"/>
          <w:i w:val="false"/>
          <w:iCs w:val="false"/>
          <w:color w:val="404040"/>
          <w:sz w:val="21"/>
          <w:szCs w:val="21"/>
        </w:rPr>
        <w:t xml:space="preserve">Total addressable market: $14.6B, approximately 2.5 million United States home-service businesses.</w:t>
      </w:r>
    </w:p>
    <w:p>
      <w:pPr>
        <w:pStyle w:val="ListParagraph"/>
        <w:numPr>
          <w:ilvl w:val="0"/>
          <w:numId w:val="1"/>
        </w:numPr>
        <w:spacing w:after="100"/>
        <w:ind w:left="360"/>
      </w:pPr>
      <w:r>
        <w:rPr>
          <w:b w:val="false"/>
          <w:bCs w:val="false"/>
          <w:i w:val="false"/>
          <w:iCs w:val="false"/>
          <w:color w:val="404040"/>
          <w:sz w:val="21"/>
          <w:szCs w:val="21"/>
        </w:rPr>
        <w:t xml:space="preserve">Serviceable addressable market: $2.9B, digitally active segment.</w:t>
      </w:r>
    </w:p>
    <w:p>
      <w:pPr>
        <w:pStyle w:val="ListParagraph"/>
        <w:numPr>
          <w:ilvl w:val="0"/>
          <w:numId w:val="1"/>
        </w:numPr>
        <w:spacing w:after="100"/>
        <w:ind w:left="360"/>
      </w:pPr>
      <w:r>
        <w:rPr>
          <w:b w:val="false"/>
          <w:bCs w:val="false"/>
          <w:i w:val="false"/>
          <w:iCs w:val="false"/>
          <w:color w:val="404040"/>
          <w:sz w:val="21"/>
          <w:szCs w:val="21"/>
        </w:rPr>
        <w:t xml:space="preserve">Beachhead: HVAC contractors, Phoenix, Arizona. Three to 15 employees, $500K to $3M in annual revenue.</w:t>
      </w:r>
    </w:p>
    <w:p>
      <w:pPr>
        <w:pStyle w:val="ListParagraph"/>
        <w:numPr>
          <w:ilvl w:val="0"/>
          <w:numId w:val="1"/>
        </w:numPr>
        <w:spacing w:after="100"/>
        <w:ind w:left="360"/>
      </w:pPr>
      <w:r>
        <w:rPr>
          <w:b w:val="false"/>
          <w:bCs w:val="false"/>
          <w:i w:val="false"/>
          <w:iCs w:val="false"/>
          <w:color w:val="404040"/>
          <w:sz w:val="21"/>
          <w:szCs w:val="21"/>
        </w:rPr>
        <w:t xml:space="preserve">Serviceable obtainable market, year one: approximately $440K.</w:t>
      </w:r>
    </w:p>
    <w:p>
      <w:pPr>
        <w:pBdr>
          <w:bottom w:val="single" w:color="CCCCCC" w:sz="4" w:space="4"/>
        </w:pBdr>
        <w:spacing w:after="160" w:before="320"/>
      </w:pPr>
      <w:r>
        <w:rPr>
          <w:b/>
          <w:bCs/>
          <w:i w:val="false"/>
          <w:iCs w:val="false"/>
          <w:color w:val="1A1A1A"/>
          <w:sz w:val="26"/>
          <w:szCs w:val="26"/>
        </w:rPr>
        <w:t xml:space="preserve">Unit Economics</w:t>
      </w:r>
    </w:p>
    <w:p>
      <w:pPr>
        <w:pStyle w:val="ListParagraph"/>
        <w:numPr>
          <w:ilvl w:val="0"/>
          <w:numId w:val="1"/>
        </w:numPr>
        <w:spacing w:after="100"/>
        <w:ind w:left="360"/>
      </w:pPr>
      <w:r>
        <w:rPr>
          <w:b w:val="false"/>
          <w:bCs w:val="false"/>
          <w:i w:val="false"/>
          <w:iCs w:val="false"/>
          <w:color w:val="404040"/>
          <w:sz w:val="21"/>
          <w:szCs w:val="21"/>
        </w:rPr>
        <w:t xml:space="preserve">Gross margin: 87% on Office Staff ($497/mo revenue, $65/mo delivery cost, $432/mo gross profit).</w:t>
      </w:r>
    </w:p>
    <w:p>
      <w:pPr>
        <w:pStyle w:val="ListParagraph"/>
        <w:numPr>
          <w:ilvl w:val="0"/>
          <w:numId w:val="1"/>
        </w:numPr>
        <w:spacing w:after="100"/>
        <w:ind w:left="360"/>
      </w:pPr>
      <w:r>
        <w:rPr>
          <w:b w:val="false"/>
          <w:bCs w:val="false"/>
          <w:i w:val="false"/>
          <w:iCs w:val="false"/>
          <w:color w:val="404040"/>
          <w:sz w:val="21"/>
          <w:szCs w:val="21"/>
        </w:rPr>
        <w:t xml:space="preserve">CAC: $100–$200 per paying customer, from the free-website lead hook, referrals, and founder-led outreach. [Inference] This assumes that funnel keeps converting at its current rate; real paid ad spend would push CAC higher.</w:t>
      </w:r>
    </w:p>
    <w:p>
      <w:pPr>
        <w:pStyle w:val="ListParagraph"/>
        <w:numPr>
          <w:ilvl w:val="0"/>
          <w:numId w:val="1"/>
        </w:numPr>
        <w:spacing w:after="100"/>
        <w:ind w:left="360"/>
      </w:pPr>
      <w:r>
        <w:rPr>
          <w:b w:val="false"/>
          <w:bCs w:val="false"/>
          <w:i w:val="false"/>
          <w:iCs w:val="false"/>
          <w:color w:val="404040"/>
          <w:sz w:val="21"/>
          <w:szCs w:val="21"/>
        </w:rPr>
        <w:t xml:space="preserve">Lifetime value: $7,200, from a 16.7-month average customer lifetime at 6% monthly churn.</w:t>
      </w:r>
    </w:p>
    <w:p>
      <w:pPr>
        <w:pStyle w:val="ListParagraph"/>
        <w:numPr>
          <w:ilvl w:val="0"/>
          <w:numId w:val="1"/>
        </w:numPr>
        <w:spacing w:after="100"/>
        <w:ind w:left="360"/>
      </w:pPr>
      <w:r>
        <w:rPr>
          <w:b w:val="false"/>
          <w:bCs w:val="false"/>
          <w:i w:val="false"/>
          <w:iCs w:val="false"/>
          <w:color w:val="404040"/>
          <w:sz w:val="21"/>
          <w:szCs w:val="21"/>
        </w:rPr>
        <w:t xml:space="preserve">LTV:CAC: 36x–72x. Payback: under a month. [Inference] These are strong because acquisition is currently cheap and founder-led, not a steady-state benchmark — treat them as unproven past the first 50 free builds.</w:t>
      </w:r>
    </w:p>
    <w:p>
      <w:pPr>
        <w:pStyle w:val="ListParagraph"/>
        <w:numPr>
          <w:ilvl w:val="0"/>
          <w:numId w:val="1"/>
        </w:numPr>
        <w:spacing w:after="100"/>
        <w:ind w:left="360"/>
      </w:pPr>
      <w:r>
        <w:rPr>
          <w:b w:val="false"/>
          <w:bCs w:val="false"/>
          <w:i w:val="false"/>
          <w:iCs w:val="false"/>
          <w:color w:val="404040"/>
          <w:sz w:val="21"/>
          <w:szCs w:val="21"/>
        </w:rPr>
        <w:t xml:space="preserve">Business Manager is an upgrade on an existing customer and carries no separate CAC or payback.</w:t>
      </w:r>
    </w:p>
    <w:p>
      <w:pPr>
        <w:pBdr>
          <w:bottom w:val="single" w:color="CCCCCC" w:sz="4" w:space="4"/>
        </w:pBdr>
        <w:spacing w:after="160" w:before="320"/>
      </w:pPr>
      <w:r>
        <w:rPr>
          <w:b/>
          <w:bCs/>
          <w:i w:val="false"/>
          <w:iCs w:val="false"/>
          <w:color w:val="1A1A1A"/>
          <w:sz w:val="26"/>
          <w:szCs w:val="26"/>
        </w:rPr>
        <w:t xml:space="preserve">Financial Projections</w:t>
      </w:r>
    </w:p>
    <w:p>
      <w:pPr>
        <w:spacing w:after="160"/>
      </w:pPr>
      <w:r>
        <w:rPr>
          <w:b w:val="false"/>
          <w:bCs w:val="false"/>
          <w:i w:val="false"/>
          <w:iCs w:val="false"/>
          <w:color w:val="404040"/>
          <w:sz w:val="21"/>
          <w:szCs w:val="21"/>
        </w:rPr>
        <w:t xml:space="preserve">[Inference — planning estimate, not measured] Model assumptions: 100 free 30-day Office Staff trials in month 1, 50/month after, 10% conversion to paid, 6% monthly churn, $150 CAC per paid customer, $3,000/month fixed costs, $25,000 starting cash.</w:t>
      </w:r>
    </w:p>
    <w:p>
      <w:pPr>
        <w:pStyle w:val="ListParagraph"/>
        <w:numPr>
          <w:ilvl w:val="0"/>
          <w:numId w:val="1"/>
        </w:numPr>
        <w:spacing w:after="100"/>
        <w:ind w:left="360"/>
      </w:pPr>
      <w:r>
        <w:rPr>
          <w:b w:val="false"/>
          <w:bCs w:val="false"/>
          <w:i w:val="false"/>
          <w:iCs w:val="false"/>
          <w:color w:val="404040"/>
          <w:sz w:val="21"/>
          <w:szCs w:val="21"/>
        </w:rPr>
        <w:t xml:space="preserve">Year One (Phoenix HVAC): cash-positive by month 3. Year-end: ~44 customers, ~$261K ARR, ~$115,325 cumulative cash.</w:t>
      </w:r>
    </w:p>
    <w:p>
      <w:pPr>
        <w:pStyle w:val="ListParagraph"/>
        <w:numPr>
          <w:ilvl w:val="0"/>
          <w:numId w:val="1"/>
        </w:numPr>
        <w:spacing w:after="100"/>
        <w:ind w:left="360"/>
      </w:pPr>
      <w:r>
        <w:rPr>
          <w:b w:val="false"/>
          <w:bCs w:val="false"/>
          <w:i w:val="false"/>
          <w:iCs w:val="false"/>
          <w:color w:val="404040"/>
          <w:sz w:val="21"/>
          <w:szCs w:val="21"/>
        </w:rPr>
        <w:t xml:space="preserve">Year Two (Phoenix + Tampa, Tampa launching month 13): ~108 customers, ~$646K ARR, ~$489K cumulative cash.</w:t>
      </w:r>
    </w:p>
    <w:p>
      <w:pPr>
        <w:pStyle w:val="ListParagraph"/>
        <w:numPr>
          <w:ilvl w:val="0"/>
          <w:numId w:val="1"/>
        </w:numPr>
        <w:spacing w:after="100"/>
        <w:ind w:left="360"/>
      </w:pPr>
      <w:r>
        <w:rPr>
          <w:b w:val="false"/>
          <w:bCs w:val="false"/>
          <w:i w:val="false"/>
          <w:iCs w:val="false"/>
          <w:color w:val="404040"/>
          <w:sz w:val="21"/>
          <w:szCs w:val="21"/>
        </w:rPr>
        <w:t xml:space="preserve">Downside (5% conversion instead of 10%): ~22 customers, ~$131K ARR, ~$52,163 cumulative cash — still cash-positive, as long as CAC holds at $100–$200. If the free-website funnel underperforms and paid acquisition becomes necessary, this case gets worse.</w:t>
      </w:r>
    </w:p>
    <w:p>
      <w:pPr>
        <w:spacing w:after="160"/>
      </w:pPr>
      <w:r>
        <w:rPr>
          <w:b w:val="false"/>
          <w:bCs w:val="false"/>
          <w:i w:val="false"/>
          <w:iCs w:val="false"/>
          <w:color w:val="404040"/>
          <w:sz w:val="21"/>
          <w:szCs w:val="21"/>
        </w:rPr>
        <w:t xml:space="preserve">Paid acquisition spend should scale only after the first 50 free builds confirm the real conversion rate.</w:t>
      </w:r>
    </w:p>
    <w:p>
      <w:pPr>
        <w:pBdr>
          <w:bottom w:val="single" w:color="CCCCCC" w:sz="4" w:space="4"/>
        </w:pBdr>
        <w:spacing w:after="160" w:before="320"/>
      </w:pPr>
      <w:r>
        <w:rPr>
          <w:b/>
          <w:bCs/>
          <w:i w:val="false"/>
          <w:iCs w:val="false"/>
          <w:color w:val="1A1A1A"/>
          <w:sz w:val="26"/>
          <w:szCs w:val="26"/>
        </w:rPr>
        <w:t xml:space="preserve">Team</w:t>
      </w:r>
    </w:p>
    <w:p>
      <w:pPr>
        <w:spacing w:after="160"/>
      </w:pPr>
      <w:r>
        <w:rPr>
          <w:b w:val="false"/>
          <w:bCs w:val="false"/>
          <w:i w:val="false"/>
          <w:iCs w:val="false"/>
          <w:color w:val="404040"/>
          <w:sz w:val="21"/>
          <w:szCs w:val="21"/>
        </w:rPr>
        <w:t xml:space="preserve">K. Michael Tortorich, MD. Founder. Sets vision, strategy, and go-to-market direction.</w:t>
      </w:r>
    </w:p>
    <w:p>
      <w:pPr>
        <w:spacing w:after="160"/>
      </w:pPr>
      <w:r>
        <w:rPr>
          <w:b w:val="false"/>
          <w:bCs w:val="false"/>
          <w:i w:val="false"/>
          <w:iCs w:val="false"/>
          <w:color w:val="404040"/>
          <w:sz w:val="21"/>
          <w:szCs w:val="21"/>
        </w:rPr>
        <w:t xml:space="preserve">Patrick Bukowski and Wenjie Tong are team members available on demand, not co-founders. Patrick supports operations and client success work as needed. Wenjie supports product architecture and engineering work as needed.</w:t>
      </w:r>
    </w:p>
    <w:p>
      <w:pPr>
        <w:pBdr>
          <w:bottom w:val="single" w:color="CCCCCC" w:sz="4" w:space="4"/>
        </w:pBdr>
        <w:spacing w:after="160" w:before="320"/>
      </w:pPr>
      <w:r>
        <w:rPr>
          <w:b/>
          <w:bCs/>
          <w:i w:val="false"/>
          <w:iCs w:val="false"/>
          <w:color w:val="1A1A1A"/>
          <w:sz w:val="26"/>
          <w:szCs w:val="26"/>
        </w:rPr>
        <w:t xml:space="preserve">Key Risks</w:t>
      </w:r>
    </w:p>
    <w:p>
      <w:pPr>
        <w:pStyle w:val="ListParagraph"/>
        <w:numPr>
          <w:ilvl w:val="0"/>
          <w:numId w:val="1"/>
        </w:numPr>
        <w:spacing w:after="100"/>
        <w:ind w:left="360"/>
      </w:pPr>
      <w:r>
        <w:rPr>
          <w:b w:val="false"/>
          <w:bCs w:val="false"/>
          <w:i w:val="false"/>
          <w:iCs w:val="false"/>
          <w:color w:val="404040"/>
          <w:sz w:val="21"/>
          <w:szCs w:val="21"/>
        </w:rPr>
        <w:t xml:space="preserve">Free-to-paid conversion below 10%: paid acquisition spend is gated on real conversion data from the first 50 free builds.</w:t>
      </w:r>
    </w:p>
    <w:p>
      <w:pPr>
        <w:pStyle w:val="ListParagraph"/>
        <w:numPr>
          <w:ilvl w:val="0"/>
          <w:numId w:val="1"/>
        </w:numPr>
        <w:spacing w:after="100"/>
        <w:ind w:left="360"/>
      </w:pPr>
      <w:r>
        <w:rPr>
          <w:b w:val="false"/>
          <w:bCs w:val="false"/>
          <w:i w:val="false"/>
          <w:iCs w:val="false"/>
          <w:color w:val="404040"/>
          <w:sz w:val="21"/>
          <w:szCs w:val="21"/>
        </w:rPr>
        <w:t xml:space="preserve">Organic CAC does not hold at $100–200: the unit economics and downside case above both assume the free-website funnel keeps converting cheaply; a shift to paid acquisition would raise CAC and change both figures materially.</w:t>
      </w:r>
    </w:p>
    <w:p>
      <w:pPr>
        <w:pStyle w:val="ListParagraph"/>
        <w:numPr>
          <w:ilvl w:val="0"/>
          <w:numId w:val="1"/>
        </w:numPr>
        <w:spacing w:after="100"/>
        <w:ind w:left="360"/>
      </w:pPr>
      <w:r>
        <w:rPr>
          <w:b w:val="false"/>
          <w:bCs w:val="false"/>
          <w:i w:val="false"/>
          <w:iCs w:val="false"/>
          <w:color w:val="404040"/>
          <w:sz w:val="21"/>
          <w:szCs w:val="21"/>
        </w:rPr>
        <w:t xml:space="preserve">Regulatory exposure from calling or texting leads: email-first outreach, consent-based contact, do-not-call scrubbing, 10DLC registration.</w:t>
      </w:r>
    </w:p>
    <w:p>
      <w:pPr>
        <w:pStyle w:val="ListParagraph"/>
        <w:numPr>
          <w:ilvl w:val="0"/>
          <w:numId w:val="1"/>
        </w:numPr>
        <w:spacing w:after="100"/>
        <w:ind w:left="360"/>
      </w:pPr>
      <w:r>
        <w:rPr>
          <w:b w:val="false"/>
          <w:bCs w:val="false"/>
          <w:i w:val="false"/>
          <w:iCs w:val="false"/>
          <w:color w:val="404040"/>
          <w:sz w:val="21"/>
          <w:szCs w:val="21"/>
        </w:rPr>
        <w:t xml:space="preserve">Churn above 6%: structured onboarding at day one, day seven, and day 30, with early call activation tracked as a leading indicator.</w:t>
      </w:r>
    </w:p>
    <w:p>
      <w:pPr>
        <w:pStyle w:val="ListParagraph"/>
        <w:numPr>
          <w:ilvl w:val="0"/>
          <w:numId w:val="1"/>
        </w:numPr>
        <w:spacing w:after="100"/>
        <w:ind w:left="360"/>
      </w:pPr>
      <w:r>
        <w:rPr>
          <w:b w:val="false"/>
          <w:bCs w:val="false"/>
          <w:i w:val="false"/>
          <w:iCs w:val="false"/>
          <w:color w:val="404040"/>
          <w:sz w:val="21"/>
          <w:szCs w:val="21"/>
        </w:rPr>
        <w:t xml:space="preserve">Competition from single-feature tools: </w:t>
      </w: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competes on the full handoff chain, not on any single feature.</w:t>
      </w:r>
    </w:p>
    <w:p>
      <w:pPr>
        <w:pStyle w:val="ListParagraph"/>
        <w:numPr>
          <w:ilvl w:val="0"/>
          <w:numId w:val="1"/>
        </w:numPr>
        <w:spacing w:after="100"/>
        <w:ind w:left="360"/>
      </w:pPr>
      <w:r>
        <w:rPr>
          <w:b w:val="false"/>
          <w:bCs w:val="false"/>
          <w:i w:val="false"/>
          <w:iCs w:val="false"/>
          <w:color w:val="404040"/>
          <w:sz w:val="21"/>
          <w:szCs w:val="21"/>
        </w:rPr>
        <w:t xml:space="preserve">Voice unproven on a live call: code-complete and unit-tested. A live phone test is the next milestone, tracked openly.</w:t>
      </w:r>
    </w:p>
    <w:p>
      <w:pPr>
        <w:pBdr>
          <w:bottom w:val="single" w:color="CCCCCC" w:sz="4" w:space="4"/>
        </w:pBdr>
        <w:spacing w:after="160" w:before="320"/>
      </w:pPr>
      <w:r>
        <w:rPr>
          <w:b/>
          <w:bCs/>
          <w:i w:val="false"/>
          <w:iCs w:val="false"/>
          <w:color w:val="1A1A1A"/>
          <w:sz w:val="26"/>
          <w:szCs w:val="26"/>
        </w:rPr>
        <w:t xml:space="preserve">Investment Terms</w:t>
      </w:r>
    </w:p>
    <w:p>
      <w:pPr>
        <w:spacing w:after="160"/>
      </w:pPr>
      <w:r>
        <w:rPr>
          <w:b w:val="false"/>
          <w:bCs w:val="false"/>
          <w:i w:val="false"/>
          <w:iCs w:val="false"/>
          <w:color w:val="404040"/>
          <w:sz w:val="21"/>
          <w:szCs w:val="21"/>
        </w:rPr>
        <w:t xml:space="preserve">This raise is a single instrument on uniform terms for every investor: a post-money Simple Agreement for Future Equity, Y Combinator standard form.</w:t>
      </w:r>
    </w:p>
    <w:p>
      <w:pPr>
        <w:pStyle w:val="ListParagraph"/>
        <w:numPr>
          <w:ilvl w:val="0"/>
          <w:numId w:val="1"/>
        </w:numPr>
        <w:spacing w:after="100"/>
        <w:ind w:left="360"/>
      </w:pPr>
      <w:r>
        <w:rPr>
          <w:b w:val="false"/>
          <w:bCs w:val="false"/>
          <w:i w:val="false"/>
          <w:iCs w:val="false"/>
          <w:color w:val="404040"/>
          <w:sz w:val="21"/>
          <w:szCs w:val="21"/>
        </w:rPr>
        <w:t xml:space="preserve">Total raise: $25,000 target; $50,000 maximum accepted.</w:t>
      </w:r>
    </w:p>
    <w:p>
      <w:pPr>
        <w:pStyle w:val="ListParagraph"/>
        <w:numPr>
          <w:ilvl w:val="0"/>
          <w:numId w:val="1"/>
        </w:numPr>
        <w:spacing w:after="100"/>
        <w:ind w:left="360"/>
      </w:pPr>
      <w:r>
        <w:rPr>
          <w:b w:val="false"/>
          <w:bCs w:val="false"/>
          <w:i w:val="false"/>
          <w:iCs w:val="false"/>
          <w:color w:val="404040"/>
          <w:sz w:val="21"/>
          <w:szCs w:val="21"/>
        </w:rPr>
        <w:t xml:space="preserve">Minimum check: $10,000.</w:t>
      </w:r>
    </w:p>
    <w:p>
      <w:pPr>
        <w:pStyle w:val="ListParagraph"/>
        <w:numPr>
          <w:ilvl w:val="0"/>
          <w:numId w:val="1"/>
        </w:numPr>
        <w:spacing w:after="100"/>
        <w:ind w:left="360"/>
      </w:pPr>
      <w:r>
        <w:rPr>
          <w:b w:val="false"/>
          <w:bCs w:val="false"/>
          <w:i w:val="false"/>
          <w:iCs w:val="false"/>
          <w:color w:val="404040"/>
          <w:sz w:val="21"/>
          <w:szCs w:val="21"/>
        </w:rPr>
        <w:t xml:space="preserve">Valuation cap: $150,000.</w:t>
      </w:r>
    </w:p>
    <w:p>
      <w:pPr>
        <w:pStyle w:val="ListParagraph"/>
        <w:numPr>
          <w:ilvl w:val="0"/>
          <w:numId w:val="1"/>
        </w:numPr>
        <w:spacing w:after="100"/>
        <w:ind w:left="360"/>
      </w:pPr>
      <w:r>
        <w:rPr>
          <w:b w:val="false"/>
          <w:bCs w:val="false"/>
          <w:i w:val="false"/>
          <w:iCs w:val="false"/>
          <w:color w:val="404040"/>
          <w:sz w:val="21"/>
          <w:szCs w:val="21"/>
        </w:rPr>
        <w:t xml:space="preserve">Discount: 20% on the next priced round. Where both the cap and the discount apply, conversion uses whichever yields the greater number of shares.</w:t>
      </w:r>
    </w:p>
    <w:p>
      <w:pPr>
        <w:pStyle w:val="ListParagraph"/>
        <w:numPr>
          <w:ilvl w:val="0"/>
          <w:numId w:val="1"/>
        </w:numPr>
        <w:spacing w:after="100"/>
        <w:ind w:left="360"/>
      </w:pPr>
      <w:r>
        <w:rPr>
          <w:b w:val="false"/>
          <w:bCs w:val="false"/>
          <w:i w:val="false"/>
          <w:iCs w:val="false"/>
          <w:color w:val="404040"/>
          <w:sz w:val="21"/>
          <w:szCs w:val="21"/>
        </w:rPr>
        <w:t xml:space="preserve">Conversion trigger: next priced equity round, acquisition, or initial public offering.</w:t>
      </w:r>
    </w:p>
    <w:p>
      <w:pPr>
        <w:pStyle w:val="ListParagraph"/>
        <w:numPr>
          <w:ilvl w:val="0"/>
          <w:numId w:val="1"/>
        </w:numPr>
        <w:spacing w:after="100"/>
        <w:ind w:left="360"/>
      </w:pPr>
      <w:r>
        <w:rPr>
          <w:b w:val="false"/>
          <w:bCs w:val="false"/>
          <w:i w:val="false"/>
          <w:iCs w:val="false"/>
          <w:color w:val="404040"/>
          <w:sz w:val="21"/>
          <w:szCs w:val="21"/>
        </w:rPr>
        <w:t xml:space="preserve">Pro rata rights: investors may maintain their percentage ownership in the next priced round.</w:t>
      </w:r>
    </w:p>
    <w:p>
      <w:pPr>
        <w:pStyle w:val="ListParagraph"/>
        <w:numPr>
          <w:ilvl w:val="0"/>
          <w:numId w:val="1"/>
        </w:numPr>
        <w:spacing w:after="100"/>
        <w:ind w:left="360"/>
      </w:pPr>
      <w:r>
        <w:rPr>
          <w:b w:val="false"/>
          <w:bCs w:val="false"/>
          <w:i w:val="false"/>
          <w:iCs w:val="false"/>
          <w:color w:val="404040"/>
          <w:sz w:val="21"/>
          <w:szCs w:val="21"/>
        </w:rPr>
        <w:t xml:space="preserve">Dissolution: if the company dissolves before a trigger event, SAFE holders are repaid ahead of common stock from remaining assets, per the standard form. If no trigger event occurs, the agreement remains outstanding.</w:t>
      </w:r>
    </w:p>
    <w:p>
      <w:pPr>
        <w:spacing w:after="160"/>
      </w:pPr>
      <w:r>
        <w:rPr>
          <w:b w:val="false"/>
          <w:bCs w:val="false"/>
          <w:i w:val="false"/>
          <w:iCs w:val="false"/>
          <w:color w:val="404040"/>
          <w:sz w:val="21"/>
          <w:szCs w:val="21"/>
        </w:rPr>
        <w:t xml:space="preserve">[Not legal or financial advice.] Have actual SAFE terms reviewed by counsel before this document is sent to a real investor.</w:t>
      </w:r>
    </w:p>
    <w:p>
      <w:pPr>
        <w:pBdr>
          <w:bottom w:val="single" w:color="CCCCCC" w:sz="4" w:space="4"/>
        </w:pBdr>
        <w:spacing w:after="160" w:before="320"/>
      </w:pPr>
      <w:r>
        <w:rPr>
          <w:b/>
          <w:bCs/>
          <w:i w:val="false"/>
          <w:iCs w:val="false"/>
          <w:color w:val="1A1A1A"/>
          <w:sz w:val="26"/>
          <w:szCs w:val="26"/>
        </w:rPr>
        <w:t xml:space="preserve">Use of Funds</w:t>
      </w:r>
    </w:p>
    <w:p>
      <w:pPr>
        <w:spacing w:after="160"/>
      </w:pPr>
      <w:r>
        <w:rPr>
          <w:b w:val="false"/>
          <w:bCs w:val="false"/>
          <w:i w:val="false"/>
          <w:iCs w:val="false"/>
          <w:color w:val="404040"/>
          <w:sz w:val="21"/>
          <w:szCs w:val="21"/>
        </w:rPr>
        <w:t xml:space="preserve">At $10,000, the minimum close: legal and United States operations ($1,580), product development ($3,049), go-to-market and acquisition ($2,040), operational reserve ($3,331). This funds the two steps that are engineering-complete and awaiting execution: telephone voice proven on a live inbound call, and the customer-facing site builder published. It also covers the Year One model's first-month milestone of ten paying contractors.</w:t>
      </w:r>
    </w:p>
    <w:p>
      <w:pPr>
        <w:spacing w:after="160"/>
      </w:pPr>
      <w:r>
        <w:rPr>
          <w:b w:val="false"/>
          <w:bCs w:val="false"/>
          <w:i w:val="false"/>
          <w:iCs w:val="false"/>
          <w:color w:val="404040"/>
          <w:sz w:val="21"/>
          <w:szCs w:val="21"/>
        </w:rPr>
        <w:t xml:space="preserve">From $10,000 to the $25,000 target: ServiceTitan integration activation — the client, sync, and mock scaffolding are already built and tested; this funds turning on a live ServiceTitan account, connecting </w:t>
      </w: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directly into the field-service-management platform already in daily use across the Phoenix HVAC beachhead, so booked appointments, customer records, and technician dispatch sync without manual re-entry. Jobber and Housecall Pro follow the same pattern for adjacent trades. The balance funds parallel buildout of the Lead Coordinator, Reputation Manager, and Sales Consultant roles, and automated onboarding so a new contractor is live within minutes of signing up.</w:t>
      </w:r>
    </w:p>
    <w:p>
      <w:pPr>
        <w:spacing w:after="160"/>
      </w:pPr>
      <w:r>
        <w:rPr>
          <w:b w:val="false"/>
          <w:bCs w:val="false"/>
          <w:i w:val="false"/>
          <w:iCs w:val="false"/>
          <w:color w:val="404040"/>
          <w:sz w:val="21"/>
          <w:szCs w:val="21"/>
        </w:rPr>
        <w:t xml:space="preserve">Above $25,000, up to the $50,000 maximum: accelerates the year-two plan — geographic expansion into the Tampa plumbing market alongside the Phoenix HVAC base, and a dedicated outbound acquisition engine, targeting the year-two figures above across both markets.</w:t>
      </w:r>
    </w:p>
    <w:p>
      <w:pPr>
        <w:pBdr>
          <w:bottom w:val="single" w:color="CCCCCC" w:sz="4" w:space="4"/>
        </w:pBdr>
        <w:spacing w:after="160" w:before="320"/>
      </w:pPr>
      <w:r>
        <w:rPr>
          <w:b/>
          <w:bCs/>
          <w:i w:val="false"/>
          <w:iCs w:val="false"/>
          <w:color w:val="1A1A1A"/>
          <w:sz w:val="26"/>
          <w:szCs w:val="26"/>
        </w:rPr>
        <w:t xml:space="preserve">Technical Partner Arrangement</w:t>
      </w:r>
    </w:p>
    <w:p>
      <w:pPr>
        <w:spacing w:after="160"/>
      </w:pPr>
      <w:r>
        <w:rPr>
          <w:b w:val="false"/>
          <w:bCs w:val="false"/>
          <w:i w:val="false"/>
          <w:iCs w:val="false"/>
          <w:color w:val="404040"/>
          <w:sz w:val="21"/>
          <w:szCs w:val="21"/>
        </w:rPr>
        <w:t xml:space="preserve">Separately from this raise, an engineering contributor may work against a fixed, named backlog in exchange for equity that vests on delivery, not time served — not a co-founder or officer position. This is governed by its own agreement, not the SAFE; the backlog and vesting terms are available on request.</w:t>
      </w:r>
    </w:p>
    <w:p>
      <w:pPr>
        <w:pBdr>
          <w:bottom w:val="single" w:color="CCCCCC" w:sz="4" w:space="4"/>
        </w:pBdr>
        <w:spacing w:after="160" w:before="320"/>
      </w:pPr>
      <w:r>
        <w:rPr>
          <w:b/>
          <w:bCs/>
          <w:i w:val="false"/>
          <w:iCs w:val="false"/>
          <w:color w:val="1A1A1A"/>
          <w:sz w:val="26"/>
          <w:szCs w:val="26"/>
        </w:rPr>
        <w:t xml:space="preserve">The </w:t>
      </w:r>
      <w:r>
        <w:rPr>
          <w:rFonts w:ascii="Cormorant Garamond" w:cs="Cormorant Garamond" w:eastAsia="Cormorant Garamond" w:hAnsi="Cormorant Garamond"/>
          <w:b/>
          <w:bCs/>
          <w:i/>
          <w:iCs/>
          <w:color w:val="1A1A1A"/>
          <w:sz w:val="26"/>
          <w:szCs w:val="26"/>
        </w:rPr>
        <w:t xml:space="preserve">WebStaffr</w:t>
      </w:r>
      <w:r>
        <w:rPr>
          <w:b/>
          <w:bCs/>
          <w:i w:val="false"/>
          <w:iCs w:val="false"/>
          <w:color w:val="1A1A1A"/>
          <w:sz w:val="26"/>
          <w:szCs w:val="26"/>
        </w:rPr>
        <w:t xml:space="preserve"> Doctrine</w:t>
      </w:r>
    </w:p>
    <w:p>
      <w:pPr>
        <w:spacing w:after="160"/>
      </w:pPr>
      <w:r>
        <w:rPr>
          <w:b w:val="false"/>
          <w:bCs w:val="false"/>
          <w:i w:val="false"/>
          <w:iCs w:val="false"/>
          <w:color w:val="404040"/>
          <w:sz w:val="21"/>
          <w:szCs w:val="21"/>
        </w:rPr>
        <w:t xml:space="preserve">Every corporate, sales, and product decision reinforces one statement:</w:t>
      </w:r>
    </w:p>
    <w:p>
      <w:pPr>
        <w:spacing w:after="200" w:before="100"/>
        <w:jc w:val="center"/>
      </w:pPr>
      <w:r>
        <w:rPr>
          <w:b/>
          <w:bCs/>
          <w:i/>
          <w:iCs/>
          <w:color w:val="1A1A1A"/>
          <w:sz w:val="21"/>
          <w:szCs w:val="21"/>
        </w:rPr>
        <w:t xml:space="preserve">We Don't Sell Technology. We Recover Revenue.</w:t>
      </w:r>
    </w:p>
    <w:p>
      <w:pPr>
        <w:spacing w:after="160"/>
      </w:pPr>
      <w:r>
        <w:rPr>
          <w:b w:val="false"/>
          <w:bCs w:val="false"/>
          <w:i w:val="false"/>
          <w:iCs w:val="false"/>
          <w:color w:val="404040"/>
          <w:sz w:val="21"/>
          <w:szCs w:val="21"/>
        </w:rPr>
        <w:t xml:space="preserve">The problem: home-service businesses don't lose jobs because they lack technology. They lose jobs because they miss opportunities: missed calls, late voicemails, slow follow-ups.</w:t>
      </w:r>
    </w:p>
    <w:p>
      <w:pPr>
        <w:spacing w:after="160"/>
      </w:pPr>
      <w:r>
        <w:rPr>
          <w:b w:val="false"/>
          <w:bCs w:val="false"/>
          <w:i w:val="false"/>
          <w:iCs w:val="false"/>
          <w:color w:val="404040"/>
          <w:sz w:val="21"/>
          <w:szCs w:val="21"/>
        </w:rPr>
        <w:t xml:space="preserve">The mission: while the contractor is on the job, </w:t>
      </w:r>
      <w:r>
        <w:rPr>
          <w:rFonts w:ascii="Cormorant Garamond" w:cs="Cormorant Garamond" w:eastAsia="Cormorant Garamond" w:hAnsi="Cormorant Garamond"/>
          <w:b/>
          <w:bCs/>
          <w:i/>
          <w:iCs/>
          <w:color w:val="1A1A1A"/>
          <w:sz w:val="21"/>
          <w:szCs w:val="21"/>
        </w:rPr>
        <w:t xml:space="preserve">WebStaffr</w:t>
      </w:r>
      <w:r>
        <w:rPr>
          <w:b w:val="false"/>
          <w:bCs w:val="false"/>
          <w:i w:val="false"/>
          <w:iCs w:val="false"/>
          <w:color w:val="404040"/>
          <w:sz w:val="21"/>
          <w:szCs w:val="21"/>
        </w:rPr>
        <w:t xml:space="preserve"> is working the leads, following up on dead quotes, and converting missed calls into booked appointments.</w:t>
      </w:r>
    </w:p>
    <w:p>
      <w:pPr>
        <w:pBdr>
          <w:bottom w:val="single" w:color="CCCCCC" w:sz="4" w:space="4"/>
        </w:pBdr>
        <w:spacing w:after="160" w:before="320"/>
      </w:pPr>
      <w:r>
        <w:rPr>
          <w:b/>
          <w:bCs/>
          <w:i w:val="false"/>
          <w:iCs w:val="false"/>
          <w:color w:val="1A1A1A"/>
          <w:sz w:val="26"/>
          <w:szCs w:val="26"/>
        </w:rPr>
        <w:t xml:space="preserve">Non-Negotiable Operational Constraints</w:t>
      </w:r>
    </w:p>
    <w:p>
      <w:pPr>
        <w:pStyle w:val="ListParagraph"/>
        <w:numPr>
          <w:ilvl w:val="0"/>
          <w:numId w:val="1"/>
        </w:numPr>
        <w:spacing w:after="100"/>
        <w:ind w:left="360"/>
      </w:pPr>
      <w:r>
        <w:rPr>
          <w:b w:val="false"/>
          <w:bCs w:val="false"/>
          <w:i w:val="false"/>
          <w:iCs w:val="false"/>
          <w:color w:val="404040"/>
          <w:sz w:val="21"/>
          <w:szCs w:val="21"/>
        </w:rPr>
        <w:t xml:space="preserve">Identify a problem, deliver an outcome. Customers want more booked jobs and fewer missed calls, not technology explanations.</w:t>
      </w:r>
    </w:p>
    <w:p>
      <w:pPr>
        <w:pStyle w:val="ListParagraph"/>
        <w:numPr>
          <w:ilvl w:val="0"/>
          <w:numId w:val="1"/>
        </w:numPr>
        <w:spacing w:after="100"/>
        <w:ind w:left="360"/>
      </w:pPr>
      <w:r>
        <w:rPr>
          <w:b w:val="false"/>
          <w:bCs w:val="false"/>
          <w:i w:val="false"/>
          <w:iCs w:val="false"/>
          <w:color w:val="404040"/>
          <w:sz w:val="21"/>
          <w:szCs w:val="21"/>
        </w:rPr>
        <w:t xml:space="preserve">Measurable ROI only. Every recommendation must answer: will this recover more revenue than it costs?</w:t>
      </w:r>
    </w:p>
    <w:p>
      <w:pPr>
        <w:pStyle w:val="ListParagraph"/>
        <w:numPr>
          <w:ilvl w:val="0"/>
          <w:numId w:val="1"/>
        </w:numPr>
        <w:spacing w:after="100"/>
        <w:ind w:left="360"/>
      </w:pPr>
      <w:r>
        <w:rPr>
          <w:b w:val="false"/>
          <w:bCs w:val="false"/>
          <w:i w:val="false"/>
          <w:iCs w:val="false"/>
          <w:color w:val="404040"/>
          <w:sz w:val="21"/>
          <w:szCs w:val="21"/>
        </w:rPr>
        <w:t xml:space="preserve">Target behavior, not demographics. The best customers are successful but operationally under-optimized: outdated website, no automated follow-up, an office overwhelmed by demand.</w:t>
      </w:r>
    </w:p>
    <w:p>
      <w:pPr>
        <w:pStyle w:val="ListParagraph"/>
        <w:numPr>
          <w:ilvl w:val="0"/>
          <w:numId w:val="1"/>
        </w:numPr>
        <w:spacing w:after="100"/>
        <w:ind w:left="360"/>
      </w:pPr>
      <w:r>
        <w:rPr>
          <w:b w:val="false"/>
          <w:bCs w:val="false"/>
          <w:i w:val="false"/>
          <w:iCs w:val="false"/>
          <w:color w:val="404040"/>
          <w:sz w:val="21"/>
          <w:szCs w:val="21"/>
        </w:rPr>
        <w:t xml:space="preserve">Operational dependence. Marketing gets cut during downturns. Operations rarely do.</w:t>
      </w:r>
    </w:p>
    <w:p>
      <w:pPr>
        <w:pStyle w:val="ListParagraph"/>
        <w:numPr>
          <w:ilvl w:val="0"/>
          <w:numId w:val="1"/>
        </w:numPr>
        <w:spacing w:after="100"/>
        <w:ind w:left="360"/>
      </w:pPr>
      <w:r>
        <w:rPr>
          <w:b w:val="false"/>
          <w:bCs w:val="false"/>
          <w:i w:val="false"/>
          <w:iCs w:val="false"/>
          <w:color w:val="404040"/>
          <w:sz w:val="21"/>
          <w:szCs w:val="21"/>
        </w:rPr>
        <w:t xml:space="preserve">Earn the right to expand. Solve one expensive problem first. A customer who trusts the Receptionist will trust the rest of the office.</w:t>
      </w:r>
    </w:p>
    <w:p>
      <w:pPr>
        <w:pBdr>
          <w:bottom w:val="single" w:color="CCCCCC" w:sz="4" w:space="4"/>
        </w:pBdr>
        <w:spacing w:after="160" w:before="320"/>
      </w:pPr>
      <w:r>
        <w:rPr>
          <w:b/>
          <w:bCs/>
          <w:i w:val="false"/>
          <w:iCs w:val="false"/>
          <w:color w:val="1A1A1A"/>
          <w:sz w:val="26"/>
          <w:szCs w:val="26"/>
        </w:rPr>
        <w:t xml:space="preserve">Metrics That Matter</w:t>
      </w:r>
    </w:p>
    <w:p>
      <w:pPr>
        <w:spacing w:after="160"/>
      </w:pPr>
      <w:r>
        <w:rPr>
          <w:b w:val="false"/>
          <w:bCs w:val="false"/>
          <w:i w:val="false"/>
          <w:iCs w:val="false"/>
          <w:color w:val="404040"/>
          <w:sz w:val="21"/>
          <w:szCs w:val="21"/>
        </w:rPr>
        <w:t xml:space="preserve">No vanity metrics: emails sent, website visits. The metrics that matter are phone answer rate, demo booking and attendance, trial activation, paid conversion, monthly churn, net revenue retention, and customer lifetime value.</w:t>
      </w:r>
    </w:p>
    <w:p>
      <w:pPr>
        <w:pBdr>
          <w:bottom w:val="single" w:color="CCCCCC" w:sz="4" w:space="4"/>
        </w:pBdr>
        <w:spacing w:after="160" w:before="320"/>
      </w:pPr>
      <w:r>
        <w:rPr>
          <w:b/>
          <w:bCs/>
          <w:i w:val="false"/>
          <w:iCs w:val="false"/>
          <w:color w:val="1A1A1A"/>
          <w:sz w:val="26"/>
          <w:szCs w:val="26"/>
        </w:rPr>
        <w:t xml:space="preserve">Reference</w:t>
      </w:r>
    </w:p>
    <w:p>
      <w:pPr>
        <w:pStyle w:val="ListParagraph"/>
        <w:numPr>
          <w:ilvl w:val="0"/>
          <w:numId w:val="1"/>
        </w:numPr>
        <w:spacing w:after="100"/>
        <w:ind w:left="360"/>
      </w:pPr>
      <w:r>
        <w:rPr>
          <w:color w:val="404040"/>
          <w:sz w:val="21"/>
          <w:szCs w:val="21"/>
        </w:rPr>
        <w:t xml:space="preserve">Complete build history: github.com/keithtortorich/WebStaffr3.0</w:t>
      </w:r>
    </w:p>
    <w:p>
      <w:pPr>
        <w:pStyle w:val="ListParagraph"/>
        <w:numPr>
          <w:ilvl w:val="0"/>
          <w:numId w:val="1"/>
        </w:numPr>
        <w:spacing w:after="100"/>
        <w:ind w:left="360"/>
      </w:pPr>
      <w:r>
        <w:rPr>
          <w:color w:val="404040"/>
          <w:sz w:val="21"/>
          <w:szCs w:val="21"/>
        </w:rPr>
        <w:t xml:space="preserve">Live production backend: web-staffr3-0-snowy.vercel.app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2026-07-14T15:50:59.953Z</dcterms:created>
  <dcterms:modified xsi:type="dcterms:W3CDTF">2026-07-14T15:50:59.953Z</dcterms:modified>
</cp:coreProperties>
</file>

<file path=docProps/custom.xml><?xml version="1.0" encoding="utf-8"?>
<Properties xmlns="http://schemas.openxmlformats.org/officeDocument/2006/custom-properties" xmlns:vt="http://schemas.openxmlformats.org/officeDocument/2006/docPropsVTypes"/>
</file>