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514AE" w14:textId="77777777" w:rsidR="00507695" w:rsidRDefault="00C313B4">
      <w:pPr>
        <w:spacing w:before="1200"/>
        <w:jc w:val="center"/>
      </w:pPr>
      <w:r>
        <w:rPr>
          <w:b/>
          <w:color w:val="1A237E"/>
          <w:sz w:val="52"/>
        </w:rPr>
        <w:t>BA Capstone Project: Checkpoint 2</w:t>
      </w:r>
    </w:p>
    <w:p w14:paraId="43870DAF" w14:textId="77777777" w:rsidR="00507695" w:rsidRDefault="00C313B4">
      <w:pPr>
        <w:jc w:val="center"/>
      </w:pPr>
      <w:r>
        <w:rPr>
          <w:b/>
          <w:color w:val="F5A623"/>
          <w:sz w:val="36"/>
        </w:rPr>
        <w:t>Spreadsheet &amp; Statistical Analysis</w:t>
      </w:r>
    </w:p>
    <w:p w14:paraId="2F24CE71" w14:textId="77777777" w:rsidR="00507695" w:rsidRDefault="00507695"/>
    <w:p w14:paraId="321083B1" w14:textId="77777777" w:rsidR="00507695" w:rsidRDefault="00C313B4">
      <w:pPr>
        <w:jc w:val="center"/>
      </w:pPr>
      <w:r>
        <w:rPr>
          <w:i/>
          <w:sz w:val="28"/>
        </w:rPr>
        <w:t>Retail &amp; Sales Analytics: Customer Segmentation &amp; Purchase Behavior Analysis</w:t>
      </w:r>
    </w:p>
    <w:p w14:paraId="3E98F172" w14:textId="77777777" w:rsidR="00507695" w:rsidRDefault="00507695"/>
    <w:p w14:paraId="0C737B95" w14:textId="77777777" w:rsidR="00507695" w:rsidRDefault="0050769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07695" w14:paraId="25659F0C" w14:textId="77777777">
        <w:trPr>
          <w:jc w:val="center"/>
        </w:trPr>
        <w:tc>
          <w:tcPr>
            <w:tcW w:w="4680" w:type="dxa"/>
          </w:tcPr>
          <w:p w14:paraId="4558BC73" w14:textId="77777777" w:rsidR="00507695" w:rsidRDefault="00C313B4">
            <w:r>
              <w:rPr>
                <w:b/>
              </w:rPr>
              <w:t>Course Code / Title</w:t>
            </w:r>
          </w:p>
        </w:tc>
        <w:tc>
          <w:tcPr>
            <w:tcW w:w="4680" w:type="dxa"/>
          </w:tcPr>
          <w:p w14:paraId="78425FE4" w14:textId="77777777" w:rsidR="00507695" w:rsidRDefault="00C313B4">
            <w:r>
              <w:t>BED 106 — Business Analytics</w:t>
            </w:r>
          </w:p>
        </w:tc>
      </w:tr>
      <w:tr w:rsidR="00507695" w14:paraId="2C5FA318" w14:textId="77777777">
        <w:trPr>
          <w:jc w:val="center"/>
        </w:trPr>
        <w:tc>
          <w:tcPr>
            <w:tcW w:w="4680" w:type="dxa"/>
          </w:tcPr>
          <w:p w14:paraId="46935485" w14:textId="77777777" w:rsidR="00507695" w:rsidRDefault="00C313B4">
            <w:r>
              <w:rPr>
                <w:b/>
              </w:rPr>
              <w:t>Checkpoint</w:t>
            </w:r>
          </w:p>
        </w:tc>
        <w:tc>
          <w:tcPr>
            <w:tcW w:w="4680" w:type="dxa"/>
          </w:tcPr>
          <w:p w14:paraId="1D1E3EE5" w14:textId="77777777" w:rsidR="00507695" w:rsidRDefault="00C313B4">
            <w:r>
              <w:t>Checkpoint 2 — Midterm Period — Weeks 5–9 — 100 Points</w:t>
            </w:r>
          </w:p>
        </w:tc>
      </w:tr>
      <w:tr w:rsidR="00507695" w14:paraId="5A7FAB1E" w14:textId="77777777">
        <w:trPr>
          <w:jc w:val="center"/>
        </w:trPr>
        <w:tc>
          <w:tcPr>
            <w:tcW w:w="4680" w:type="dxa"/>
          </w:tcPr>
          <w:p w14:paraId="6C00A9A1" w14:textId="77777777" w:rsidR="00507695" w:rsidRDefault="00C313B4">
            <w:r>
              <w:rPr>
                <w:b/>
              </w:rPr>
              <w:t>Group Name</w:t>
            </w:r>
          </w:p>
        </w:tc>
        <w:tc>
          <w:tcPr>
            <w:tcW w:w="4680" w:type="dxa"/>
          </w:tcPr>
          <w:p w14:paraId="7078847D" w14:textId="77777777" w:rsidR="00507695" w:rsidRDefault="00C313B4">
            <w:r>
              <w:t>________________________</w:t>
            </w:r>
          </w:p>
        </w:tc>
      </w:tr>
      <w:tr w:rsidR="00507695" w14:paraId="1EA8EF8B" w14:textId="77777777">
        <w:trPr>
          <w:jc w:val="center"/>
        </w:trPr>
        <w:tc>
          <w:tcPr>
            <w:tcW w:w="4680" w:type="dxa"/>
          </w:tcPr>
          <w:p w14:paraId="6ED4738A" w14:textId="77777777" w:rsidR="00507695" w:rsidRDefault="00C313B4">
            <w:r>
              <w:rPr>
                <w:b/>
              </w:rPr>
              <w:t>Date</w:t>
            </w:r>
          </w:p>
        </w:tc>
        <w:tc>
          <w:tcPr>
            <w:tcW w:w="4680" w:type="dxa"/>
          </w:tcPr>
          <w:p w14:paraId="67616692" w14:textId="77777777" w:rsidR="00507695" w:rsidRDefault="00C313B4">
            <w:r>
              <w:t>2026-08-21</w:t>
            </w:r>
          </w:p>
        </w:tc>
      </w:tr>
      <w:tr w:rsidR="00507695" w14:paraId="0FAD98A0" w14:textId="77777777">
        <w:trPr>
          <w:jc w:val="center"/>
        </w:trPr>
        <w:tc>
          <w:tcPr>
            <w:tcW w:w="4680" w:type="dxa"/>
          </w:tcPr>
          <w:p w14:paraId="51FA6EAD" w14:textId="77777777" w:rsidR="00507695" w:rsidRDefault="00C313B4">
            <w:r>
              <w:rPr>
                <w:b/>
              </w:rPr>
              <w:t>Academic Year</w:t>
            </w:r>
          </w:p>
        </w:tc>
        <w:tc>
          <w:tcPr>
            <w:tcW w:w="4680" w:type="dxa"/>
          </w:tcPr>
          <w:p w14:paraId="0F74D21F" w14:textId="77777777" w:rsidR="00507695" w:rsidRDefault="00C313B4">
            <w:r>
              <w:t>2026–2027, 1st Semester</w:t>
            </w:r>
          </w:p>
        </w:tc>
      </w:tr>
      <w:tr w:rsidR="00507695" w14:paraId="0C3DC5EC" w14:textId="77777777">
        <w:trPr>
          <w:jc w:val="center"/>
        </w:trPr>
        <w:tc>
          <w:tcPr>
            <w:tcW w:w="4680" w:type="dxa"/>
          </w:tcPr>
          <w:p w14:paraId="11C4EFCB" w14:textId="77777777" w:rsidR="00507695" w:rsidRDefault="00C313B4">
            <w:r>
              <w:rPr>
                <w:b/>
              </w:rPr>
              <w:t>Instructor</w:t>
            </w:r>
          </w:p>
        </w:tc>
        <w:tc>
          <w:tcPr>
            <w:tcW w:w="4680" w:type="dxa"/>
          </w:tcPr>
          <w:p w14:paraId="4B300507" w14:textId="77777777" w:rsidR="00507695" w:rsidRDefault="00C313B4">
            <w:r>
              <w:t>Jessie A. Melendres</w:t>
            </w:r>
          </w:p>
        </w:tc>
      </w:tr>
    </w:tbl>
    <w:p w14:paraId="38DEA32F" w14:textId="77777777" w:rsidR="00507695" w:rsidRDefault="00507695"/>
    <w:p w14:paraId="5027219B" w14:textId="77777777" w:rsidR="00507695" w:rsidRDefault="00C313B4">
      <w:pPr>
        <w:pStyle w:val="Heading2"/>
      </w:pPr>
      <w:r>
        <w:rPr>
          <w:rFonts w:ascii="Arial" w:hAnsi="Arial"/>
          <w:color w:val="1A237E"/>
          <w:sz w:val="28"/>
        </w:rPr>
        <w:t>Team Members &amp; Roles</w:t>
      </w:r>
    </w:p>
    <w:p w14:paraId="084127DB" w14:textId="77777777" w:rsidR="00507695" w:rsidRDefault="00C313B4">
      <w:pPr>
        <w:pStyle w:val="ListBullet"/>
      </w:pPr>
      <w:r>
        <w:t>Jeziel Lea Mitch Credo — Project Lead / Analyst &amp; BI Developer / Visualizer</w:t>
      </w:r>
    </w:p>
    <w:p w14:paraId="46A2A94A" w14:textId="77777777" w:rsidR="00507695" w:rsidRDefault="00C313B4">
      <w:pPr>
        <w:pStyle w:val="ListBullet"/>
      </w:pPr>
      <w:r>
        <w:t>Nicka Hinlayagan — Data Engineer</w:t>
      </w:r>
    </w:p>
    <w:p w14:paraId="267D2EC8" w14:textId="11AFAC54" w:rsidR="00507695" w:rsidRDefault="00C313B4" w:rsidP="00C60F8C">
      <w:pPr>
        <w:pStyle w:val="ListBullet"/>
      </w:pPr>
      <w:r>
        <w:t>Jennilyn Manatad — Statistician / Modeler</w:t>
      </w:r>
    </w:p>
    <w:p w14:paraId="2B788187" w14:textId="77777777" w:rsidR="00507695" w:rsidRDefault="00C313B4">
      <w:pPr>
        <w:pStyle w:val="Heading1"/>
      </w:pPr>
      <w:r>
        <w:rPr>
          <w:rFonts w:ascii="Arial" w:hAnsi="Arial"/>
          <w:color w:val="1A237E"/>
          <w:sz w:val="36"/>
        </w:rPr>
        <w:lastRenderedPageBreak/>
        <w:t>T</w:t>
      </w:r>
      <w:r>
        <w:rPr>
          <w:rFonts w:ascii="Arial" w:hAnsi="Arial"/>
          <w:color w:val="1A237E"/>
          <w:sz w:val="36"/>
        </w:rPr>
        <w:t>ask 2.1 — Spreadsheet Analytics Report</w:t>
      </w:r>
    </w:p>
    <w:p w14:paraId="490DEDD6" w14:textId="77777777" w:rsidR="00507695" w:rsidRDefault="00C313B4">
      <w:r>
        <w:t>The full analysis was built in the companion workbook “Checkpoint 2 - Spreadsheet &amp; Statistical Analysis.xlsx”, structured exactly as required:</w:t>
      </w:r>
    </w:p>
    <w:p w14:paraId="366A03C2" w14:textId="77777777" w:rsidR="00507695" w:rsidRDefault="00C313B4">
      <w:pPr>
        <w:pStyle w:val="ListBullet"/>
      </w:pPr>
      <w:r>
        <w:t>Sheet 1 — Cleaned Data: the same 300-invoice, 5,129-line cleaned transaction set used for the Checkpoint 1 database (2010-12-01 to 2010-12-03), with three helper columns identifying completed (non-cancelled) lines for use in the statistics formulas.</w:t>
      </w:r>
    </w:p>
    <w:p w14:paraId="1C1EFB3A" w14:textId="77777777" w:rsidR="00507695" w:rsidRDefault="00C313B4">
      <w:pPr>
        <w:pStyle w:val="ListBullet"/>
      </w:pPr>
      <w:r>
        <w:t>Sheet 2 — Pivot Analysis: three summary tables — Total Sales by Country, Average Unit Price &amp; Revenue by Product (top 15), and Order Count by Hour of Day — built with SUMIFS / AVERAGEIFS / SUMPRODUCT formulas against Cleaned Data.</w:t>
      </w:r>
    </w:p>
    <w:p w14:paraId="6B989A10" w14:textId="77777777" w:rsidR="00507695" w:rsidRDefault="00C313B4">
      <w:pPr>
        <w:pStyle w:val="ListBullet"/>
      </w:pPr>
      <w:r>
        <w:t>Sheet 3 — Pivot Charts: a bar chart of revenue by country, a bar chart of the top 15 products by revenue, and a line chart of order count by hour of day, each titled and axis-labeled.</w:t>
      </w:r>
    </w:p>
    <w:p w14:paraId="1F085786" w14:textId="38B402AE" w:rsidR="00A86F24" w:rsidRDefault="00C313B4" w:rsidP="003F5313">
      <w:pPr>
        <w:pStyle w:val="ListBullet"/>
      </w:pPr>
      <w:r>
        <w:t>Sheet 4 — Formulas Showcase: five functions demonstrated live against Cleaned Data — SUMIF (UK revenue), COUNTIF (cancelled lines), VLOOKUP (product description lookup), IF (High Value/Standard line flag), and TEXT (formatted invoice date).</w:t>
      </w:r>
    </w:p>
    <w:p w14:paraId="2BE24526" w14:textId="77777777" w:rsidR="003F5313" w:rsidRDefault="003F5313" w:rsidP="003F5313">
      <w:pPr>
        <w:pStyle w:val="ListBullet"/>
        <w:numPr>
          <w:ilvl w:val="0"/>
          <w:numId w:val="0"/>
        </w:numPr>
        <w:ind w:left="360" w:hanging="360"/>
      </w:pPr>
    </w:p>
    <w:p w14:paraId="2B6876C8" w14:textId="4E6A566D" w:rsidR="003F5313" w:rsidRPr="003F5313" w:rsidRDefault="003F5313" w:rsidP="003F5313">
      <w:pPr>
        <w:pStyle w:val="ListBullet"/>
        <w:numPr>
          <w:ilvl w:val="0"/>
          <w:numId w:val="0"/>
        </w:numPr>
        <w:jc w:val="center"/>
        <w:rPr>
          <w:color w:val="002060"/>
        </w:rPr>
      </w:pPr>
      <w:r w:rsidRPr="003F5313">
        <w:rPr>
          <w:color w:val="002060"/>
        </w:rPr>
        <w:t>Cleaned Data</w:t>
      </w:r>
    </w:p>
    <w:p w14:paraId="433EDE05" w14:textId="6DF09C39" w:rsidR="00A86F24" w:rsidRDefault="00A86F24" w:rsidP="00A86F24">
      <w:pPr>
        <w:pStyle w:val="ListBullet"/>
        <w:numPr>
          <w:ilvl w:val="0"/>
          <w:numId w:val="0"/>
        </w:numPr>
      </w:pPr>
      <w:r w:rsidRPr="00A86F24">
        <w:drawing>
          <wp:inline distT="0" distB="0" distL="0" distR="0" wp14:anchorId="42A634F6" wp14:editId="492BF283">
            <wp:extent cx="5943600" cy="3133090"/>
            <wp:effectExtent l="0" t="0" r="0" b="0"/>
            <wp:docPr id="156912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27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7A4E" w14:textId="450E6991" w:rsidR="00E24D67" w:rsidRPr="00F10D20" w:rsidRDefault="00F10D20" w:rsidP="00F10D20">
      <w:pPr>
        <w:pStyle w:val="ListBullet"/>
        <w:numPr>
          <w:ilvl w:val="0"/>
          <w:numId w:val="0"/>
        </w:numPr>
        <w:jc w:val="center"/>
        <w:rPr>
          <w:color w:val="002060"/>
        </w:rPr>
      </w:pPr>
      <w:r>
        <w:rPr>
          <w:color w:val="002060"/>
        </w:rPr>
        <w:lastRenderedPageBreak/>
        <w:t>Pivot Analysis</w:t>
      </w:r>
    </w:p>
    <w:p w14:paraId="09E849D1" w14:textId="24C67AEA" w:rsidR="000A3BFD" w:rsidRDefault="00E24D67" w:rsidP="000A3BFD">
      <w:pPr>
        <w:pStyle w:val="ListBullet"/>
        <w:numPr>
          <w:ilvl w:val="0"/>
          <w:numId w:val="0"/>
        </w:numPr>
        <w:ind w:left="360"/>
      </w:pPr>
      <w:r w:rsidRPr="00E24D67">
        <w:drawing>
          <wp:inline distT="0" distB="0" distL="0" distR="0" wp14:anchorId="6D663787" wp14:editId="5836B2FC">
            <wp:extent cx="5943600" cy="3133090"/>
            <wp:effectExtent l="0" t="0" r="0" b="0"/>
            <wp:docPr id="135109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97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3547" w14:textId="77777777" w:rsidR="00F10D20" w:rsidRDefault="00F10D20" w:rsidP="000A3BFD">
      <w:pPr>
        <w:pStyle w:val="ListBullet"/>
        <w:numPr>
          <w:ilvl w:val="0"/>
          <w:numId w:val="0"/>
        </w:numPr>
        <w:ind w:left="360"/>
      </w:pPr>
    </w:p>
    <w:p w14:paraId="501EC80D" w14:textId="7C7156CD" w:rsidR="00836EAC" w:rsidRPr="001B22D6" w:rsidRDefault="001B22D6" w:rsidP="001B22D6">
      <w:pPr>
        <w:pStyle w:val="ListBullet"/>
        <w:numPr>
          <w:ilvl w:val="0"/>
          <w:numId w:val="0"/>
        </w:numPr>
        <w:jc w:val="center"/>
        <w:rPr>
          <w:color w:val="002060"/>
        </w:rPr>
      </w:pPr>
      <w:r>
        <w:rPr>
          <w:color w:val="002060"/>
        </w:rPr>
        <w:t>Pivot Charts</w:t>
      </w:r>
    </w:p>
    <w:p w14:paraId="1C8C3154" w14:textId="0CEED5B5" w:rsidR="003F5313" w:rsidRDefault="00836EAC" w:rsidP="00A86F24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41892744" wp14:editId="2A4377DF">
            <wp:extent cx="5943600" cy="3268980"/>
            <wp:effectExtent l="0" t="0" r="0" b="7620"/>
            <wp:docPr id="49377115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3D81C5AC" w14:textId="5F51AAC3" w:rsidR="00A86F24" w:rsidRDefault="001B22D6">
      <w:pPr>
        <w:rPr>
          <w:i/>
          <w:color w:val="C0392B"/>
        </w:rPr>
      </w:pPr>
      <w:r>
        <w:rPr>
          <w:noProof/>
        </w:rPr>
        <w:lastRenderedPageBreak/>
        <w:drawing>
          <wp:inline distT="0" distB="0" distL="0" distR="0" wp14:anchorId="5B10E503" wp14:editId="4ABF39B4">
            <wp:extent cx="5943600" cy="3268980"/>
            <wp:effectExtent l="0" t="0" r="0" b="7620"/>
            <wp:docPr id="75843661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62BDDDF" w14:textId="06CBD356" w:rsidR="00F10D20" w:rsidRPr="00F10D20" w:rsidRDefault="001B22D6">
      <w:pPr>
        <w:rPr>
          <w:i/>
          <w:color w:val="C0392B"/>
        </w:rPr>
      </w:pPr>
      <w:r>
        <w:rPr>
          <w:noProof/>
        </w:rPr>
        <w:drawing>
          <wp:inline distT="0" distB="0" distL="0" distR="0" wp14:anchorId="0FF0BFE3" wp14:editId="5D2C9C05">
            <wp:extent cx="5943600" cy="3268980"/>
            <wp:effectExtent l="0" t="0" r="0" b="7620"/>
            <wp:docPr id="149804521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A83E714" w14:textId="04EAC51B" w:rsidR="00906D58" w:rsidRDefault="00906D58" w:rsidP="00906D58">
      <w:pPr>
        <w:rPr>
          <w:b/>
          <w:color w:val="C99A2E"/>
          <w:sz w:val="26"/>
        </w:rPr>
      </w:pPr>
      <w:r w:rsidRPr="00906D58">
        <w:rPr>
          <w:b/>
          <w:color w:val="C99A2E"/>
          <w:sz w:val="26"/>
        </w:rPr>
        <w:t>Formulas Showcase</w:t>
      </w:r>
    </w:p>
    <w:p w14:paraId="7BD70BD4" w14:textId="5F6C3D6E" w:rsidR="00FD3565" w:rsidRDefault="00FD3565" w:rsidP="00906D58">
      <w:pPr>
        <w:rPr>
          <w:bCs/>
          <w:color w:val="000000" w:themeColor="text1"/>
          <w:szCs w:val="24"/>
        </w:rPr>
      </w:pPr>
      <w:r w:rsidRPr="00FD3565">
        <w:rPr>
          <w:bCs/>
          <w:color w:val="000000" w:themeColor="text1"/>
          <w:szCs w:val="24"/>
        </w:rPr>
        <w:t>Five Excel functions applied to the Cleaned Data sheet, each with a live formula.</w:t>
      </w:r>
    </w:p>
    <w:p w14:paraId="2C8995B1" w14:textId="0A9F82FF" w:rsidR="00FD3565" w:rsidRPr="00315743" w:rsidRDefault="00315743" w:rsidP="00315743">
      <w:pPr>
        <w:pStyle w:val="ListParagraph"/>
        <w:numPr>
          <w:ilvl w:val="0"/>
          <w:numId w:val="10"/>
        </w:numPr>
        <w:rPr>
          <w:bCs/>
          <w:color w:val="000000" w:themeColor="text1"/>
          <w:szCs w:val="24"/>
        </w:rPr>
      </w:pPr>
      <w:r w:rsidRPr="00315743">
        <w:rPr>
          <w:bCs/>
          <w:color w:val="000000" w:themeColor="text1"/>
          <w:szCs w:val="24"/>
        </w:rPr>
        <w:t>SUMIF — total revenue from United Kingdom orders</w:t>
      </w:r>
      <w:r w:rsidRPr="00315743">
        <w:rPr>
          <w:bCs/>
          <w:color w:val="000000" w:themeColor="text1"/>
          <w:szCs w:val="24"/>
        </w:rPr>
        <w:tab/>
      </w:r>
    </w:p>
    <w:p w14:paraId="1E53A9A3" w14:textId="12117EDC" w:rsidR="00315743" w:rsidRDefault="008A6EBB" w:rsidP="00315743">
      <w:pPr>
        <w:pStyle w:val="ListParagraph"/>
        <w:numPr>
          <w:ilvl w:val="0"/>
          <w:numId w:val="10"/>
        </w:numPr>
        <w:rPr>
          <w:bCs/>
          <w:color w:val="000000" w:themeColor="text1"/>
          <w:szCs w:val="24"/>
        </w:rPr>
      </w:pPr>
      <w:r w:rsidRPr="008A6EBB">
        <w:rPr>
          <w:bCs/>
          <w:color w:val="000000" w:themeColor="text1"/>
          <w:szCs w:val="24"/>
        </w:rPr>
        <w:t>COUNTIF — number of cancelled order lines</w:t>
      </w:r>
    </w:p>
    <w:p w14:paraId="4E4B01DE" w14:textId="3FFBE372" w:rsidR="00A5424E" w:rsidRDefault="00A5424E" w:rsidP="00315743">
      <w:pPr>
        <w:pStyle w:val="ListParagraph"/>
        <w:numPr>
          <w:ilvl w:val="0"/>
          <w:numId w:val="10"/>
        </w:numPr>
        <w:rPr>
          <w:bCs/>
          <w:color w:val="000000" w:themeColor="text1"/>
          <w:szCs w:val="24"/>
        </w:rPr>
      </w:pPr>
      <w:r w:rsidRPr="00A5424E">
        <w:rPr>
          <w:bCs/>
          <w:color w:val="000000" w:themeColor="text1"/>
          <w:szCs w:val="24"/>
        </w:rPr>
        <w:lastRenderedPageBreak/>
        <w:t xml:space="preserve">VLOOKUP — look up a product's description from its </w:t>
      </w:r>
      <w:proofErr w:type="spellStart"/>
      <w:r w:rsidRPr="00A5424E">
        <w:rPr>
          <w:bCs/>
          <w:color w:val="000000" w:themeColor="text1"/>
          <w:szCs w:val="24"/>
        </w:rPr>
        <w:t>StockCode</w:t>
      </w:r>
      <w:proofErr w:type="spellEnd"/>
    </w:p>
    <w:p w14:paraId="5A0CB383" w14:textId="77777777" w:rsidR="00C21AE8" w:rsidRDefault="00C21AE8" w:rsidP="00315743">
      <w:pPr>
        <w:pStyle w:val="ListParagraph"/>
        <w:numPr>
          <w:ilvl w:val="0"/>
          <w:numId w:val="10"/>
        </w:numPr>
        <w:rPr>
          <w:bCs/>
          <w:color w:val="000000" w:themeColor="text1"/>
          <w:szCs w:val="24"/>
        </w:rPr>
      </w:pPr>
      <w:r w:rsidRPr="00C21AE8">
        <w:rPr>
          <w:bCs/>
          <w:color w:val="000000" w:themeColor="text1"/>
          <w:szCs w:val="24"/>
        </w:rPr>
        <w:t>IF — flag each sample line as High Value (&gt;= £15) or Standard</w:t>
      </w:r>
    </w:p>
    <w:p w14:paraId="60B146E0" w14:textId="6ECE272A" w:rsidR="008A6EBB" w:rsidRPr="00315743" w:rsidRDefault="00C21AE8" w:rsidP="00315743">
      <w:pPr>
        <w:pStyle w:val="ListParagraph"/>
        <w:numPr>
          <w:ilvl w:val="0"/>
          <w:numId w:val="10"/>
        </w:numPr>
        <w:rPr>
          <w:bCs/>
          <w:color w:val="000000" w:themeColor="text1"/>
          <w:szCs w:val="24"/>
        </w:rPr>
      </w:pPr>
      <w:r w:rsidRPr="00C21AE8">
        <w:rPr>
          <w:bCs/>
          <w:color w:val="000000" w:themeColor="text1"/>
          <w:szCs w:val="24"/>
        </w:rPr>
        <w:t>TEXT — format the invoice date as a readable string</w:t>
      </w:r>
      <w:r w:rsidRPr="00C21AE8">
        <w:rPr>
          <w:bCs/>
          <w:color w:val="000000" w:themeColor="text1"/>
          <w:szCs w:val="24"/>
        </w:rPr>
        <w:tab/>
      </w:r>
      <w:r w:rsidRPr="00C21AE8">
        <w:rPr>
          <w:bCs/>
          <w:color w:val="000000" w:themeColor="text1"/>
          <w:szCs w:val="24"/>
        </w:rPr>
        <w:tab/>
      </w:r>
    </w:p>
    <w:p w14:paraId="61B1B2FC" w14:textId="77777777" w:rsidR="00507695" w:rsidRDefault="00C313B4">
      <w:pPr>
        <w:pStyle w:val="Heading1"/>
      </w:pPr>
      <w:r>
        <w:rPr>
          <w:rFonts w:ascii="Arial" w:hAnsi="Arial"/>
          <w:color w:val="1A237E"/>
          <w:sz w:val="36"/>
        </w:rPr>
        <w:t>T</w:t>
      </w:r>
      <w:r>
        <w:rPr>
          <w:rFonts w:ascii="Arial" w:hAnsi="Arial"/>
          <w:color w:val="1A237E"/>
          <w:sz w:val="36"/>
        </w:rPr>
        <w:t>ask 2.2 — Descriptive Statistics Report</w:t>
      </w:r>
    </w:p>
    <w:p w14:paraId="792C6AC0" w14:textId="77777777" w:rsidR="00507695" w:rsidRDefault="00C313B4">
      <w:r>
        <w:t>Computed on the 5,055 completed (non-cancelled) order lines in the sample (see the Descriptive Statistics sheet in the workbook):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07695" w14:paraId="3B34BBE7" w14:textId="77777777" w:rsidTr="00507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8083598" w14:textId="77777777" w:rsidR="00507695" w:rsidRDefault="00C313B4">
            <w:r>
              <w:rPr>
                <w:sz w:val="22"/>
              </w:rPr>
              <w:t>Statistic</w:t>
            </w:r>
          </w:p>
        </w:tc>
        <w:tc>
          <w:tcPr>
            <w:tcW w:w="2340" w:type="dxa"/>
          </w:tcPr>
          <w:p w14:paraId="2DFCED26" w14:textId="77777777" w:rsidR="00507695" w:rsidRDefault="00C313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Quantity</w:t>
            </w:r>
          </w:p>
        </w:tc>
        <w:tc>
          <w:tcPr>
            <w:tcW w:w="2340" w:type="dxa"/>
          </w:tcPr>
          <w:p w14:paraId="5B2297FB" w14:textId="77777777" w:rsidR="00507695" w:rsidRDefault="00C313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Unit Price (£)</w:t>
            </w:r>
          </w:p>
        </w:tc>
        <w:tc>
          <w:tcPr>
            <w:tcW w:w="2340" w:type="dxa"/>
          </w:tcPr>
          <w:p w14:paraId="592D5578" w14:textId="77777777" w:rsidR="00507695" w:rsidRDefault="00C313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Line Total (£)</w:t>
            </w:r>
          </w:p>
        </w:tc>
      </w:tr>
      <w:tr w:rsidR="00507695" w14:paraId="134D2597" w14:textId="77777777" w:rsidTr="0050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119688D" w14:textId="77777777" w:rsidR="00507695" w:rsidRDefault="00C313B4">
            <w:r>
              <w:rPr>
                <w:sz w:val="22"/>
              </w:rPr>
              <w:t>Mean</w:t>
            </w:r>
          </w:p>
        </w:tc>
        <w:tc>
          <w:tcPr>
            <w:tcW w:w="2340" w:type="dxa"/>
          </w:tcPr>
          <w:p w14:paraId="76CCEF0B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11.61</w:t>
            </w:r>
          </w:p>
        </w:tc>
        <w:tc>
          <w:tcPr>
            <w:tcW w:w="2340" w:type="dxa"/>
          </w:tcPr>
          <w:p w14:paraId="2EFB62B9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3.54</w:t>
            </w:r>
          </w:p>
        </w:tc>
        <w:tc>
          <w:tcPr>
            <w:tcW w:w="2340" w:type="dxa"/>
          </w:tcPr>
          <w:p w14:paraId="7D071212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21.01</w:t>
            </w:r>
          </w:p>
        </w:tc>
      </w:tr>
      <w:tr w:rsidR="00507695" w14:paraId="2572856C" w14:textId="77777777" w:rsidTr="005076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1A7DECF" w14:textId="77777777" w:rsidR="00507695" w:rsidRDefault="00C313B4">
            <w:r>
              <w:rPr>
                <w:sz w:val="22"/>
              </w:rPr>
              <w:t>Median</w:t>
            </w:r>
          </w:p>
        </w:tc>
        <w:tc>
          <w:tcPr>
            <w:tcW w:w="2340" w:type="dxa"/>
          </w:tcPr>
          <w:p w14:paraId="701B7394" w14:textId="77777777" w:rsidR="00507695" w:rsidRDefault="00C313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3.00</w:t>
            </w:r>
          </w:p>
        </w:tc>
        <w:tc>
          <w:tcPr>
            <w:tcW w:w="2340" w:type="dxa"/>
          </w:tcPr>
          <w:p w14:paraId="682DE06F" w14:textId="77777777" w:rsidR="00507695" w:rsidRDefault="00C313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2.51</w:t>
            </w:r>
          </w:p>
        </w:tc>
        <w:tc>
          <w:tcPr>
            <w:tcW w:w="2340" w:type="dxa"/>
          </w:tcPr>
          <w:p w14:paraId="43080347" w14:textId="77777777" w:rsidR="00507695" w:rsidRDefault="00C313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10.20</w:t>
            </w:r>
          </w:p>
        </w:tc>
      </w:tr>
      <w:tr w:rsidR="00507695" w14:paraId="6C9E58D8" w14:textId="77777777" w:rsidTr="0050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57556C7" w14:textId="77777777" w:rsidR="00507695" w:rsidRDefault="00C313B4">
            <w:r>
              <w:rPr>
                <w:sz w:val="22"/>
              </w:rPr>
              <w:t>Mode</w:t>
            </w:r>
          </w:p>
        </w:tc>
        <w:tc>
          <w:tcPr>
            <w:tcW w:w="2340" w:type="dxa"/>
          </w:tcPr>
          <w:p w14:paraId="718EE243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1.00</w:t>
            </w:r>
          </w:p>
        </w:tc>
        <w:tc>
          <w:tcPr>
            <w:tcW w:w="2340" w:type="dxa"/>
          </w:tcPr>
          <w:p w14:paraId="118B199B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1.25</w:t>
            </w:r>
          </w:p>
        </w:tc>
        <w:tc>
          <w:tcPr>
            <w:tcW w:w="2340" w:type="dxa"/>
          </w:tcPr>
          <w:p w14:paraId="20620D20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15.00</w:t>
            </w:r>
          </w:p>
        </w:tc>
      </w:tr>
      <w:tr w:rsidR="00507695" w14:paraId="72918364" w14:textId="77777777" w:rsidTr="005076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1C3369B" w14:textId="77777777" w:rsidR="00507695" w:rsidRDefault="00C313B4">
            <w:r>
              <w:rPr>
                <w:sz w:val="22"/>
              </w:rPr>
              <w:t>Std. Deviation</w:t>
            </w:r>
          </w:p>
        </w:tc>
        <w:tc>
          <w:tcPr>
            <w:tcW w:w="2340" w:type="dxa"/>
          </w:tcPr>
          <w:p w14:paraId="09128D96" w14:textId="77777777" w:rsidR="00507695" w:rsidRDefault="00C313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58.30</w:t>
            </w:r>
          </w:p>
        </w:tc>
        <w:tc>
          <w:tcPr>
            <w:tcW w:w="2340" w:type="dxa"/>
          </w:tcPr>
          <w:p w14:paraId="27CE6C97" w14:textId="77777777" w:rsidR="00507695" w:rsidRDefault="00C313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6.04</w:t>
            </w:r>
          </w:p>
        </w:tc>
        <w:tc>
          <w:tcPr>
            <w:tcW w:w="2340" w:type="dxa"/>
          </w:tcPr>
          <w:p w14:paraId="3528A011" w14:textId="77777777" w:rsidR="00507695" w:rsidRDefault="00C313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60.80</w:t>
            </w:r>
          </w:p>
        </w:tc>
      </w:tr>
      <w:tr w:rsidR="00507695" w14:paraId="04892144" w14:textId="77777777" w:rsidTr="0050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36A7DA7" w14:textId="77777777" w:rsidR="00507695" w:rsidRDefault="00C313B4">
            <w:r>
              <w:rPr>
                <w:sz w:val="22"/>
              </w:rPr>
              <w:t>Variance</w:t>
            </w:r>
          </w:p>
        </w:tc>
        <w:tc>
          <w:tcPr>
            <w:tcW w:w="2340" w:type="dxa"/>
          </w:tcPr>
          <w:p w14:paraId="37633FEB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3,399.44</w:t>
            </w:r>
          </w:p>
        </w:tc>
        <w:tc>
          <w:tcPr>
            <w:tcW w:w="2340" w:type="dxa"/>
          </w:tcPr>
          <w:p w14:paraId="7597E273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36.49</w:t>
            </w:r>
          </w:p>
        </w:tc>
        <w:tc>
          <w:tcPr>
            <w:tcW w:w="2340" w:type="dxa"/>
          </w:tcPr>
          <w:p w14:paraId="5ED74BF0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3,696.18</w:t>
            </w:r>
          </w:p>
        </w:tc>
      </w:tr>
      <w:tr w:rsidR="00507695" w14:paraId="6FA70BF7" w14:textId="77777777" w:rsidTr="005076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BCDD079" w14:textId="77777777" w:rsidR="00507695" w:rsidRDefault="00C313B4">
            <w:r>
              <w:rPr>
                <w:sz w:val="22"/>
              </w:rPr>
              <w:t>Range</w:t>
            </w:r>
          </w:p>
        </w:tc>
        <w:tc>
          <w:tcPr>
            <w:tcW w:w="2340" w:type="dxa"/>
          </w:tcPr>
          <w:p w14:paraId="41C37039" w14:textId="77777777" w:rsidR="00507695" w:rsidRDefault="00C313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2,879.00</w:t>
            </w:r>
          </w:p>
        </w:tc>
        <w:tc>
          <w:tcPr>
            <w:tcW w:w="2340" w:type="dxa"/>
          </w:tcPr>
          <w:p w14:paraId="01B51261" w14:textId="77777777" w:rsidR="00507695" w:rsidRDefault="00C313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294.90</w:t>
            </w:r>
          </w:p>
        </w:tc>
        <w:tc>
          <w:tcPr>
            <w:tcW w:w="2340" w:type="dxa"/>
          </w:tcPr>
          <w:p w14:paraId="1A8EB449" w14:textId="77777777" w:rsidR="00507695" w:rsidRDefault="00C313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1,626.91</w:t>
            </w:r>
          </w:p>
        </w:tc>
      </w:tr>
      <w:tr w:rsidR="00507695" w14:paraId="781CCAD8" w14:textId="77777777" w:rsidTr="0050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6830374" w14:textId="77777777" w:rsidR="00507695" w:rsidRDefault="00C313B4">
            <w:r>
              <w:rPr>
                <w:sz w:val="22"/>
              </w:rPr>
              <w:t>Min</w:t>
            </w:r>
          </w:p>
        </w:tc>
        <w:tc>
          <w:tcPr>
            <w:tcW w:w="2340" w:type="dxa"/>
          </w:tcPr>
          <w:p w14:paraId="1B287BBE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1.00</w:t>
            </w:r>
          </w:p>
        </w:tc>
        <w:tc>
          <w:tcPr>
            <w:tcW w:w="2340" w:type="dxa"/>
          </w:tcPr>
          <w:p w14:paraId="7B1FF293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0.10</w:t>
            </w:r>
          </w:p>
        </w:tc>
        <w:tc>
          <w:tcPr>
            <w:tcW w:w="2340" w:type="dxa"/>
          </w:tcPr>
          <w:p w14:paraId="13A9E758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0.29</w:t>
            </w:r>
          </w:p>
        </w:tc>
      </w:tr>
      <w:tr w:rsidR="00507695" w14:paraId="6E90A12E" w14:textId="77777777" w:rsidTr="005076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39EC34C" w14:textId="77777777" w:rsidR="00507695" w:rsidRDefault="00C313B4">
            <w:r>
              <w:rPr>
                <w:sz w:val="22"/>
              </w:rPr>
              <w:t>Max</w:t>
            </w:r>
          </w:p>
        </w:tc>
        <w:tc>
          <w:tcPr>
            <w:tcW w:w="2340" w:type="dxa"/>
          </w:tcPr>
          <w:p w14:paraId="7CB6F3C7" w14:textId="77777777" w:rsidR="00507695" w:rsidRDefault="00C313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2,880.00</w:t>
            </w:r>
          </w:p>
        </w:tc>
        <w:tc>
          <w:tcPr>
            <w:tcW w:w="2340" w:type="dxa"/>
          </w:tcPr>
          <w:p w14:paraId="11B309D7" w14:textId="77777777" w:rsidR="00507695" w:rsidRDefault="00C313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295.00</w:t>
            </w:r>
          </w:p>
        </w:tc>
        <w:tc>
          <w:tcPr>
            <w:tcW w:w="2340" w:type="dxa"/>
          </w:tcPr>
          <w:p w14:paraId="1C8D29FD" w14:textId="77777777" w:rsidR="00507695" w:rsidRDefault="00C313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1,627.20</w:t>
            </w:r>
          </w:p>
        </w:tc>
      </w:tr>
    </w:tbl>
    <w:p w14:paraId="3D844C7C" w14:textId="77777777" w:rsidR="00507695" w:rsidRDefault="00507695"/>
    <w:p w14:paraId="177704BF" w14:textId="77777777" w:rsidR="00507695" w:rsidRDefault="00C313B4">
      <w:pPr>
        <w:pStyle w:val="Heading2"/>
      </w:pPr>
      <w:r>
        <w:rPr>
          <w:rFonts w:ascii="Arial" w:hAnsi="Arial"/>
          <w:color w:val="1A237E"/>
          <w:sz w:val="28"/>
        </w:rPr>
        <w:t>Quantity</w:t>
      </w:r>
    </w:p>
    <w:p w14:paraId="4BFDC2BE" w14:textId="77777777" w:rsidR="00507695" w:rsidRDefault="00C313B4">
      <w:r>
        <w:t>The mean quantity per order line (11.6 units) is far above the median (3 units) and the mode (1 unit), and the standard deviation (58.3) dwarfs the mean itself — a strongly right-skewed distribution. Most order lines are small (a third of all lines are a single unit), but a handful of bulk purchases (up to 2,880 units on one line) pull the average up sharply. For inventory planning, this means typical basket size should be estimated from the median/mode, not the mean, while bulk orders should be tracked and</w:t>
      </w:r>
      <w:r>
        <w:t xml:space="preserve"> fulfilled as a separate operational category.</w:t>
      </w:r>
    </w:p>
    <w:p w14:paraId="6124C511" w14:textId="77777777" w:rsidR="00507695" w:rsidRDefault="00C313B4">
      <w:pPr>
        <w:pStyle w:val="Heading2"/>
      </w:pPr>
      <w:r>
        <w:rPr>
          <w:rFonts w:ascii="Arial" w:hAnsi="Arial"/>
          <w:color w:val="1A237E"/>
          <w:sz w:val="28"/>
        </w:rPr>
        <w:t>Unit Price</w:t>
      </w:r>
    </w:p>
    <w:p w14:paraId="5AA91968" w14:textId="77777777" w:rsidR="00507695" w:rsidRDefault="00C313B4">
      <w:r>
        <w:t xml:space="preserve">Unit prices are modest and tightly clustered: the median (£2.51) and mode (£1.25) sit close together near the low end of a £0.10–£295.00 range, with a mean of £3.54 pulled upward by a small number of premium items. This confirms the business's core catalog </w:t>
      </w:r>
      <w:r>
        <w:lastRenderedPageBreak/>
        <w:t>is low-cost novelty/gift items, with a long tail of higher-priced décor pieces (e.g., the £295 top price) that likely drive disproportionate margin per unit sold.</w:t>
      </w:r>
    </w:p>
    <w:p w14:paraId="24408AC4" w14:textId="77777777" w:rsidR="00507695" w:rsidRDefault="00C313B4">
      <w:pPr>
        <w:pStyle w:val="Heading2"/>
      </w:pPr>
      <w:r>
        <w:rPr>
          <w:rFonts w:ascii="Arial" w:hAnsi="Arial"/>
          <w:color w:val="1A237E"/>
          <w:sz w:val="28"/>
        </w:rPr>
        <w:t>Line Total</w:t>
      </w:r>
    </w:p>
    <w:p w14:paraId="5B184ED4" w14:textId="77777777" w:rsidR="00507695" w:rsidRDefault="00C313B4">
      <w:r>
        <w:t>Line total (Quantity x Unit Price) mirrors the skew seen in Quantity: mean £21.01 versus median £10.20, with a maximum single line value of £1,627.20. This tells the business that a small number of large order lines materially affect total revenue, so revenue forecasts built only on “typical” order size will understate real totals — bulk-order variance needs to be modeled explicitly rather than smoothed away.</w:t>
      </w:r>
    </w:p>
    <w:p w14:paraId="4E94FBBF" w14:textId="77777777" w:rsidR="00507695" w:rsidRDefault="00C313B4">
      <w:pPr>
        <w:pStyle w:val="Heading2"/>
      </w:pPr>
      <w:r>
        <w:rPr>
          <w:rFonts w:ascii="Arial" w:hAnsi="Arial"/>
          <w:color w:val="1A237E"/>
          <w:sz w:val="28"/>
        </w:rPr>
        <w:t>Frequency Distribution — Quantity per Order Line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109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507695" w14:paraId="7485DC81" w14:textId="77777777" w:rsidTr="00507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</w:tcPr>
          <w:p w14:paraId="448ABB55" w14:textId="77777777" w:rsidR="00507695" w:rsidRDefault="00C313B4">
            <w:r>
              <w:rPr>
                <w:sz w:val="22"/>
              </w:rPr>
              <w:t>Quantity Bucket</w:t>
            </w:r>
          </w:p>
        </w:tc>
        <w:tc>
          <w:tcPr>
            <w:tcW w:w="1040" w:type="dxa"/>
          </w:tcPr>
          <w:p w14:paraId="194189C4" w14:textId="77777777" w:rsidR="00507695" w:rsidRDefault="00C313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1</w:t>
            </w:r>
          </w:p>
        </w:tc>
        <w:tc>
          <w:tcPr>
            <w:tcW w:w="1040" w:type="dxa"/>
          </w:tcPr>
          <w:p w14:paraId="024EEE89" w14:textId="77777777" w:rsidR="00507695" w:rsidRDefault="00C313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2</w:t>
            </w:r>
          </w:p>
        </w:tc>
        <w:tc>
          <w:tcPr>
            <w:tcW w:w="1040" w:type="dxa"/>
          </w:tcPr>
          <w:p w14:paraId="2921B871" w14:textId="77777777" w:rsidR="00507695" w:rsidRDefault="00C313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3–5</w:t>
            </w:r>
          </w:p>
        </w:tc>
        <w:tc>
          <w:tcPr>
            <w:tcW w:w="1040" w:type="dxa"/>
          </w:tcPr>
          <w:p w14:paraId="0DAD8326" w14:textId="77777777" w:rsidR="00507695" w:rsidRDefault="00C313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6–10</w:t>
            </w:r>
          </w:p>
        </w:tc>
        <w:tc>
          <w:tcPr>
            <w:tcW w:w="1040" w:type="dxa"/>
          </w:tcPr>
          <w:p w14:paraId="548D06D8" w14:textId="77777777" w:rsidR="00507695" w:rsidRDefault="00C313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11–25</w:t>
            </w:r>
          </w:p>
        </w:tc>
        <w:tc>
          <w:tcPr>
            <w:tcW w:w="1040" w:type="dxa"/>
          </w:tcPr>
          <w:p w14:paraId="414C7598" w14:textId="77777777" w:rsidR="00507695" w:rsidRDefault="00C313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26–50</w:t>
            </w:r>
          </w:p>
        </w:tc>
        <w:tc>
          <w:tcPr>
            <w:tcW w:w="1040" w:type="dxa"/>
          </w:tcPr>
          <w:p w14:paraId="2D481BFD" w14:textId="77777777" w:rsidR="00507695" w:rsidRDefault="00C313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51–100</w:t>
            </w:r>
          </w:p>
        </w:tc>
        <w:tc>
          <w:tcPr>
            <w:tcW w:w="1040" w:type="dxa"/>
          </w:tcPr>
          <w:p w14:paraId="42669599" w14:textId="77777777" w:rsidR="00507695" w:rsidRDefault="00C313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100+</w:t>
            </w:r>
          </w:p>
        </w:tc>
      </w:tr>
      <w:tr w:rsidR="00507695" w14:paraId="36C6C0F5" w14:textId="77777777" w:rsidTr="0050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</w:tcPr>
          <w:p w14:paraId="4E693D78" w14:textId="77777777" w:rsidR="00507695" w:rsidRDefault="00C313B4">
            <w:r>
              <w:rPr>
                <w:sz w:val="22"/>
              </w:rPr>
              <w:t>Order lines</w:t>
            </w:r>
          </w:p>
        </w:tc>
        <w:tc>
          <w:tcPr>
            <w:tcW w:w="1040" w:type="dxa"/>
          </w:tcPr>
          <w:p w14:paraId="36680122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1509</w:t>
            </w:r>
          </w:p>
        </w:tc>
        <w:tc>
          <w:tcPr>
            <w:tcW w:w="1040" w:type="dxa"/>
          </w:tcPr>
          <w:p w14:paraId="4F003557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700</w:t>
            </w:r>
          </w:p>
        </w:tc>
        <w:tc>
          <w:tcPr>
            <w:tcW w:w="1040" w:type="dxa"/>
          </w:tcPr>
          <w:p w14:paraId="560B2917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730</w:t>
            </w:r>
          </w:p>
        </w:tc>
        <w:tc>
          <w:tcPr>
            <w:tcW w:w="1040" w:type="dxa"/>
          </w:tcPr>
          <w:p w14:paraId="05343312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814</w:t>
            </w:r>
          </w:p>
        </w:tc>
        <w:tc>
          <w:tcPr>
            <w:tcW w:w="1040" w:type="dxa"/>
          </w:tcPr>
          <w:p w14:paraId="3E97F99A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981</w:t>
            </w:r>
          </w:p>
        </w:tc>
        <w:tc>
          <w:tcPr>
            <w:tcW w:w="1040" w:type="dxa"/>
          </w:tcPr>
          <w:p w14:paraId="674F6E65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175</w:t>
            </w:r>
          </w:p>
        </w:tc>
        <w:tc>
          <w:tcPr>
            <w:tcW w:w="1040" w:type="dxa"/>
          </w:tcPr>
          <w:p w14:paraId="6D4B16A5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81</w:t>
            </w:r>
          </w:p>
        </w:tc>
        <w:tc>
          <w:tcPr>
            <w:tcW w:w="1040" w:type="dxa"/>
          </w:tcPr>
          <w:p w14:paraId="74B09EBD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65</w:t>
            </w:r>
          </w:p>
        </w:tc>
      </w:tr>
    </w:tbl>
    <w:p w14:paraId="22DC4576" w14:textId="77777777" w:rsidR="00C73517" w:rsidRDefault="00C73517"/>
    <w:p w14:paraId="51F16774" w14:textId="0FB160D3" w:rsidR="00507695" w:rsidRDefault="00C313B4">
      <w:r>
        <w:t>The histogram (Descriptive Statistics sheet) confirms the right-skew directly: frequency drops off steadily from single-unit lines toward the 26–50 and 51–100 buckets, with a small but non-trivial resurgence of 65 lines above 100 units — the bulk-order segment worth tracking separately.</w:t>
      </w:r>
    </w:p>
    <w:p w14:paraId="5E39692E" w14:textId="6FABED77" w:rsidR="00507695" w:rsidRPr="00C73517" w:rsidRDefault="0057250C">
      <w:pPr>
        <w:rPr>
          <w:i/>
          <w:color w:val="C0392B"/>
        </w:rPr>
      </w:pPr>
      <w:r>
        <w:rPr>
          <w:noProof/>
        </w:rPr>
        <w:lastRenderedPageBreak/>
        <w:drawing>
          <wp:inline distT="0" distB="0" distL="0" distR="0" wp14:anchorId="31C1CF90" wp14:editId="1CA73058">
            <wp:extent cx="5943600" cy="3302000"/>
            <wp:effectExtent l="0" t="0" r="0" b="12700"/>
            <wp:docPr id="82720775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B84EF2A" w14:textId="77777777" w:rsidR="00507695" w:rsidRDefault="00C313B4">
      <w:pPr>
        <w:pStyle w:val="Heading1"/>
      </w:pPr>
      <w:r>
        <w:rPr>
          <w:rFonts w:ascii="Arial" w:hAnsi="Arial"/>
          <w:color w:val="1A237E"/>
          <w:sz w:val="36"/>
        </w:rPr>
        <w:t>Task 2.3 — Correlation Analysis</w:t>
      </w:r>
    </w:p>
    <w:p w14:paraId="15D7F5DA" w14:textId="77777777" w:rsidR="00507695" w:rsidRDefault="00C313B4">
      <w:pPr>
        <w:pStyle w:val="Heading2"/>
      </w:pPr>
      <w:r>
        <w:rPr>
          <w:rFonts w:ascii="Arial" w:hAnsi="Arial"/>
          <w:color w:val="1A237E"/>
          <w:sz w:val="28"/>
        </w:rPr>
        <w:t>Pair 1 — Quantity vs. Unit Price (line-item level)</w:t>
      </w:r>
    </w:p>
    <w:p w14:paraId="18FF6CA3" w14:textId="77777777" w:rsidR="00507695" w:rsidRDefault="00C313B4">
      <w:r>
        <w:t>Pearson r = -0.0572 (CORREL, Descriptive/Correlation Analysis sheet). This is a very weak negative correlation, essentially no linear relationship: customers do not reliably buy less of an item because it costs more, at this price range. Business implication: price alone is a poor predictor of order size in this catalog — quantity purchased is driven more by occasion/bulk-buying behavior than by unit price sensitivity.</w:t>
      </w:r>
    </w:p>
    <w:p w14:paraId="627285DF" w14:textId="77777777" w:rsidR="00F844A5" w:rsidRDefault="00F844A5">
      <w:pPr>
        <w:pStyle w:val="Heading2"/>
        <w:rPr>
          <w:rFonts w:ascii="Arial" w:hAnsi="Arial"/>
          <w:color w:val="1A237E"/>
          <w:sz w:val="28"/>
        </w:rPr>
      </w:pPr>
      <w:r>
        <w:rPr>
          <w:noProof/>
        </w:rPr>
        <w:lastRenderedPageBreak/>
        <w:drawing>
          <wp:inline distT="0" distB="0" distL="0" distR="0" wp14:anchorId="6B0363DA" wp14:editId="41FDF554">
            <wp:extent cx="5943600" cy="3632200"/>
            <wp:effectExtent l="0" t="0" r="0" b="6350"/>
            <wp:docPr id="4703996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2E23601" w14:textId="2819021B" w:rsidR="00507695" w:rsidRDefault="00C313B4">
      <w:pPr>
        <w:pStyle w:val="Heading2"/>
      </w:pPr>
      <w:r>
        <w:rPr>
          <w:rFonts w:ascii="Arial" w:hAnsi="Arial"/>
          <w:color w:val="1A237E"/>
          <w:sz w:val="28"/>
        </w:rPr>
        <w:t>Pair 2 — Items per Invoice vs. Invoice Value</w:t>
      </w:r>
    </w:p>
    <w:p w14:paraId="7B3EAD09" w14:textId="77777777" w:rsidR="00507695" w:rsidRDefault="00C313B4">
      <w:r>
        <w:t>Pearson r = 0.6912 (n = 271 invoices). This is a moderately strong positive correlation: invoices with more distinct line items reliably carry a higher total value. Business implication: basket-size (cross-sell / upsell of additional line items) is a meaningfully more reliable lever for growing revenue per order than trying to push customers toward higher-priced individual items.</w:t>
      </w:r>
    </w:p>
    <w:p w14:paraId="2C0D0E0E" w14:textId="3E6A4417" w:rsidR="00507695" w:rsidRDefault="00C313B4">
      <w:r>
        <w:t>The scatter plot with linear trendline and R²/equation is embedded directly in the Correlation Analysis sheet next to the Pair 2 data table.</w:t>
      </w:r>
    </w:p>
    <w:p w14:paraId="0BE0FAC4" w14:textId="77777777" w:rsidR="00507695" w:rsidRDefault="00C313B4">
      <w:pPr>
        <w:pStyle w:val="Heading1"/>
      </w:pPr>
      <w:r>
        <w:rPr>
          <w:rFonts w:ascii="Arial" w:hAnsi="Arial"/>
          <w:color w:val="1A237E"/>
          <w:sz w:val="36"/>
        </w:rPr>
        <w:t>Task 2.4 — Simple Linear Regression</w:t>
      </w:r>
    </w:p>
    <w:p w14:paraId="5100F636" w14:textId="77777777" w:rsidR="00507695" w:rsidRDefault="00C313B4">
      <w:r>
        <w:t>Dependent variable (Y): Invoice Value (£).  Predictor (X): Items per Invoice.</w:t>
      </w:r>
    </w:p>
    <w:p w14:paraId="2CF25A9F" w14:textId="77777777" w:rsidR="00507695" w:rsidRDefault="00C313B4">
      <w:r>
        <w:rPr>
          <w:b/>
        </w:rPr>
        <w:t>Regression equation:  Invoice Value = 217.49 + 9.35 × (Items per Invoice)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07695" w14:paraId="69D5DF18" w14:textId="77777777" w:rsidTr="00507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88B59E7" w14:textId="77777777" w:rsidR="00507695" w:rsidRDefault="00C313B4">
            <w:r>
              <w:rPr>
                <w:sz w:val="22"/>
              </w:rPr>
              <w:t>Metric</w:t>
            </w:r>
          </w:p>
        </w:tc>
        <w:tc>
          <w:tcPr>
            <w:tcW w:w="4680" w:type="dxa"/>
          </w:tcPr>
          <w:p w14:paraId="4504F272" w14:textId="77777777" w:rsidR="00507695" w:rsidRDefault="00C313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2"/>
              </w:rPr>
              <w:t>Value</w:t>
            </w:r>
          </w:p>
        </w:tc>
      </w:tr>
      <w:tr w:rsidR="00507695" w14:paraId="16E8B1B0" w14:textId="77777777" w:rsidTr="0050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DC9A32" w14:textId="77777777" w:rsidR="00507695" w:rsidRDefault="00C313B4">
            <w:r>
              <w:rPr>
                <w:sz w:val="22"/>
              </w:rPr>
              <w:t>Slope (b)</w:t>
            </w:r>
          </w:p>
        </w:tc>
        <w:tc>
          <w:tcPr>
            <w:tcW w:w="4680" w:type="dxa"/>
          </w:tcPr>
          <w:p w14:paraId="46146161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9.346</w:t>
            </w:r>
          </w:p>
        </w:tc>
      </w:tr>
      <w:tr w:rsidR="00507695" w14:paraId="6D519BA3" w14:textId="77777777" w:rsidTr="005076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7F5728B" w14:textId="77777777" w:rsidR="00507695" w:rsidRDefault="00C313B4">
            <w:r>
              <w:rPr>
                <w:sz w:val="22"/>
              </w:rPr>
              <w:lastRenderedPageBreak/>
              <w:t>Intercept (a)</w:t>
            </w:r>
          </w:p>
        </w:tc>
        <w:tc>
          <w:tcPr>
            <w:tcW w:w="4680" w:type="dxa"/>
          </w:tcPr>
          <w:p w14:paraId="1E3834E3" w14:textId="77777777" w:rsidR="00507695" w:rsidRDefault="00C313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217.492</w:t>
            </w:r>
          </w:p>
        </w:tc>
      </w:tr>
      <w:tr w:rsidR="00507695" w14:paraId="01110E51" w14:textId="77777777" w:rsidTr="0050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ECCBEBD" w14:textId="77777777" w:rsidR="00507695" w:rsidRDefault="00C313B4">
            <w:r>
              <w:rPr>
                <w:sz w:val="22"/>
              </w:rPr>
              <w:t>R-squared</w:t>
            </w:r>
          </w:p>
        </w:tc>
        <w:tc>
          <w:tcPr>
            <w:tcW w:w="4680" w:type="dxa"/>
          </w:tcPr>
          <w:p w14:paraId="3FBE42AF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0.4777</w:t>
            </w:r>
          </w:p>
        </w:tc>
      </w:tr>
      <w:tr w:rsidR="00507695" w14:paraId="5BEF1C99" w14:textId="77777777" w:rsidTr="005076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65EEBA2" w14:textId="77777777" w:rsidR="00507695" w:rsidRDefault="00C313B4">
            <w:r>
              <w:rPr>
                <w:sz w:val="22"/>
              </w:rPr>
              <w:t>Correlation (R)</w:t>
            </w:r>
          </w:p>
        </w:tc>
        <w:tc>
          <w:tcPr>
            <w:tcW w:w="4680" w:type="dxa"/>
          </w:tcPr>
          <w:p w14:paraId="02824DCB" w14:textId="77777777" w:rsidR="00507695" w:rsidRDefault="00C313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0.6912</w:t>
            </w:r>
          </w:p>
        </w:tc>
      </w:tr>
      <w:tr w:rsidR="00507695" w14:paraId="2BEE7201" w14:textId="77777777" w:rsidTr="0050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F290ED2" w14:textId="77777777" w:rsidR="00507695" w:rsidRDefault="00C313B4">
            <w:r>
              <w:rPr>
                <w:sz w:val="22"/>
              </w:rPr>
              <w:t>p-value (slope)</w:t>
            </w:r>
          </w:p>
        </w:tc>
        <w:tc>
          <w:tcPr>
            <w:tcW w:w="4680" w:type="dxa"/>
          </w:tcPr>
          <w:p w14:paraId="652A899E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&lt; 0.0001 (highly significant)</w:t>
            </w:r>
          </w:p>
        </w:tc>
      </w:tr>
      <w:tr w:rsidR="00507695" w14:paraId="0DE94710" w14:textId="77777777" w:rsidTr="005076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59850A6" w14:textId="77777777" w:rsidR="00507695" w:rsidRDefault="00C313B4">
            <w:r>
              <w:rPr>
                <w:sz w:val="22"/>
              </w:rPr>
              <w:t>n (invoices)</w:t>
            </w:r>
          </w:p>
        </w:tc>
        <w:tc>
          <w:tcPr>
            <w:tcW w:w="4680" w:type="dxa"/>
          </w:tcPr>
          <w:p w14:paraId="6F5AEAA9" w14:textId="77777777" w:rsidR="00507695" w:rsidRDefault="00C313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2"/>
              </w:rPr>
              <w:t>271</w:t>
            </w:r>
          </w:p>
        </w:tc>
      </w:tr>
      <w:tr w:rsidR="00507695" w14:paraId="0E281225" w14:textId="77777777" w:rsidTr="005076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957F96B" w14:textId="77777777" w:rsidR="00507695" w:rsidRDefault="00C313B4">
            <w:r>
              <w:rPr>
                <w:sz w:val="22"/>
              </w:rPr>
              <w:t>Predicted value, X = 10 items</w:t>
            </w:r>
          </w:p>
        </w:tc>
        <w:tc>
          <w:tcPr>
            <w:tcW w:w="4680" w:type="dxa"/>
          </w:tcPr>
          <w:p w14:paraId="4F085816" w14:textId="77777777" w:rsidR="00507695" w:rsidRDefault="00C313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2"/>
              </w:rPr>
              <w:t>£310.95</w:t>
            </w:r>
          </w:p>
        </w:tc>
      </w:tr>
    </w:tbl>
    <w:p w14:paraId="324CDA3A" w14:textId="77777777" w:rsidR="00507695" w:rsidRDefault="00507695"/>
    <w:p w14:paraId="495CB32B" w14:textId="77777777" w:rsidR="00507695" w:rsidRDefault="00C313B4">
      <w:r>
        <w:t>Interpretation: about 47.8% of the variation in invoice value is explained by the number of items on the invoice (R² = 0.478); the remaining ~52% comes from other factors such as which specific products were bought. The slope's p-value is far below 0.05, so the relationship is statistically significant — it is very unlikely to be due to chance. Practically: every additional line item added to a basket is associated with about £9.35 more in invoice value, and even a zero-item invoice has a £217.49 baseline i</w:t>
      </w:r>
      <w:r>
        <w:t>ntercept driven mostly by a few very large single-item bulk orders in the sample (see Task 2.2 — Quantity outliers), which inflates the intercept and should be read with that caveat rather than as a literal “base order value.”</w:t>
      </w:r>
    </w:p>
    <w:p w14:paraId="04525922" w14:textId="77777777" w:rsidR="00507695" w:rsidRDefault="00C313B4">
      <w:pPr>
        <w:pStyle w:val="Heading2"/>
      </w:pPr>
      <w:r>
        <w:rPr>
          <w:rFonts w:ascii="Arial" w:hAnsi="Arial"/>
          <w:color w:val="1A237E"/>
          <w:sz w:val="28"/>
        </w:rPr>
        <w:t>Limitations &amp; Conditions for Use</w:t>
      </w:r>
    </w:p>
    <w:p w14:paraId="66321F07" w14:textId="77777777" w:rsidR="00507695" w:rsidRDefault="00C313B4">
      <w:pPr>
        <w:pStyle w:val="ListBullet"/>
      </w:pPr>
      <w:r>
        <w:t>The intercept is inflated by a handful of very large bulk-order line items identified in the descriptive statistics; a robust/outlier-trimmed regression would likely show a lower intercept and a steeper, more representative slope.</w:t>
      </w:r>
    </w:p>
    <w:p w14:paraId="2BDD39CB" w14:textId="77777777" w:rsidR="00507695" w:rsidRDefault="00C313B4">
      <w:pPr>
        <w:pStyle w:val="ListBullet"/>
      </w:pPr>
      <w:r>
        <w:t>The model is a simple (single-predictor) regression — it does not control for product mix, country, or day/hour of purchase, all of which plausibly also affect invoice value.</w:t>
      </w:r>
    </w:p>
    <w:p w14:paraId="60FEE9F3" w14:textId="77777777" w:rsidR="00507695" w:rsidRDefault="00C313B4">
      <w:pPr>
        <w:pStyle w:val="ListBullet"/>
      </w:pPr>
      <w:r>
        <w:t>The sample covers only 271 invoices over roughly 3 days from a single retailer; the equation should not be assumed to generalize to a different sales period or business without re-fitting.</w:t>
      </w:r>
    </w:p>
    <w:p w14:paraId="7FE236EB" w14:textId="103AD138" w:rsidR="00507695" w:rsidRDefault="007A4F53">
      <w:r w:rsidRPr="007A4F53">
        <w:rPr>
          <w:i/>
          <w:color w:val="C0392B"/>
        </w:rPr>
        <w:lastRenderedPageBreak/>
        <w:drawing>
          <wp:inline distT="0" distB="0" distL="0" distR="0" wp14:anchorId="3B791382" wp14:editId="52F6E88B">
            <wp:extent cx="5943600" cy="3133090"/>
            <wp:effectExtent l="0" t="0" r="0" b="0"/>
            <wp:docPr id="161907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74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C385" w14:textId="77777777" w:rsidR="00507695" w:rsidRDefault="00C313B4">
      <w:pPr>
        <w:pStyle w:val="Heading1"/>
      </w:pPr>
      <w:r>
        <w:rPr>
          <w:rFonts w:ascii="Arial" w:hAnsi="Arial"/>
          <w:color w:val="1A237E"/>
          <w:sz w:val="36"/>
        </w:rPr>
        <w:t>Task 2.5 — Trend / Seasonality Analysis</w:t>
      </w:r>
    </w:p>
    <w:p w14:paraId="55967964" w14:textId="77777777" w:rsidR="00507695" w:rsidRDefault="00C313B4">
      <w:r>
        <w:t>The sample is time-stamped at the minute level, so an hourly revenue trend was built across the full window (2010-12-01 08:00 to 2010-12-03 09:00, 24 hourly buckets).</w:t>
      </w:r>
    </w:p>
    <w:p w14:paraId="08BBD463" w14:textId="77777777" w:rsidR="00507695" w:rsidRDefault="00C313B4">
      <w:r>
        <w:rPr>
          <w:b/>
        </w:rPr>
        <w:t>Linear trend fit: Revenue = 5,500.50 − 93.57 × t   |   R² = 0.047, p = 0.31 (not statistically significant).</w:t>
      </w:r>
    </w:p>
    <w:p w14:paraId="28CF9263" w14:textId="77777777" w:rsidR="00507695" w:rsidRDefault="00C313B4">
      <w:r>
        <w:t>FORECAST-based projection for the next 3 hourly periods: £3,254.75, £3,161.18, £3,067.60 (Trend Analysis sheet, cells B31:B33).</w:t>
      </w:r>
    </w:p>
    <w:p w14:paraId="3E2FB130" w14:textId="77777777" w:rsidR="00507695" w:rsidRDefault="00C313B4">
      <w:pPr>
        <w:pStyle w:val="Heading2"/>
      </w:pPr>
      <w:r>
        <w:rPr>
          <w:rFonts w:ascii="Arial" w:hAnsi="Arial"/>
          <w:color w:val="1A237E"/>
          <w:sz w:val="28"/>
        </w:rPr>
        <w:t>Reliability &amp; Assumptions</w:t>
      </w:r>
    </w:p>
    <w:p w14:paraId="46AD5461" w14:textId="77777777" w:rsidR="00507695" w:rsidRDefault="00C313B4">
      <w:r>
        <w:t>With only ~24 hourly observations spanning under 3 calendar days, the day-over-day linear trend is not statistically reliable (p = 0.31, well above the 0.05 significance threshold) — the forecast above should be treated as illustrative only, not a dependable business projection. The more trustworthy pattern in this sample is the intraday order curve visible in Pivot Chart 3 (Order Count by Hour of Day): orders build steadily from shop opening, peak around midday to early afternoon (hours 12–16), and taper o</w:t>
      </w:r>
      <w:r>
        <w:t xml:space="preserve">ff by evening — a staffing/response-time planning signal, not a long-range sales forecast. A genuine month-over-month or seasonal trend/forecast would require extracting a full </w:t>
      </w:r>
      <w:r>
        <w:lastRenderedPageBreak/>
        <w:t>year of the same source dataset (which spans 2010-12-01 to 2011-12-09) rather than the 3-day Checkpoint 1 sample.</w:t>
      </w:r>
    </w:p>
    <w:p w14:paraId="028AF432" w14:textId="5BB2CBE3" w:rsidR="00507695" w:rsidRDefault="00F8288C" w:rsidP="00F8288C">
      <w:r>
        <w:rPr>
          <w:noProof/>
        </w:rPr>
        <w:drawing>
          <wp:inline distT="0" distB="0" distL="0" distR="0" wp14:anchorId="7544A8D7" wp14:editId="66CC2592">
            <wp:extent cx="5943600" cy="2971800"/>
            <wp:effectExtent l="0" t="0" r="0" b="0"/>
            <wp:docPr id="65791067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sectPr w:rsidR="0050769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D682F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A372B1"/>
    <w:multiLevelType w:val="hybridMultilevel"/>
    <w:tmpl w:val="09A09AC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2066D"/>
    <w:multiLevelType w:val="hybridMultilevel"/>
    <w:tmpl w:val="45BCA2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476063">
    <w:abstractNumId w:val="8"/>
  </w:num>
  <w:num w:numId="2" w16cid:durableId="495875461">
    <w:abstractNumId w:val="6"/>
  </w:num>
  <w:num w:numId="3" w16cid:durableId="2081519675">
    <w:abstractNumId w:val="5"/>
  </w:num>
  <w:num w:numId="4" w16cid:durableId="1470590761">
    <w:abstractNumId w:val="4"/>
  </w:num>
  <w:num w:numId="5" w16cid:durableId="564219269">
    <w:abstractNumId w:val="7"/>
  </w:num>
  <w:num w:numId="6" w16cid:durableId="843323117">
    <w:abstractNumId w:val="3"/>
  </w:num>
  <w:num w:numId="7" w16cid:durableId="939218452">
    <w:abstractNumId w:val="2"/>
  </w:num>
  <w:num w:numId="8" w16cid:durableId="892624064">
    <w:abstractNumId w:val="1"/>
  </w:num>
  <w:num w:numId="9" w16cid:durableId="1524243562">
    <w:abstractNumId w:val="0"/>
  </w:num>
  <w:num w:numId="10" w16cid:durableId="123742657">
    <w:abstractNumId w:val="9"/>
  </w:num>
  <w:num w:numId="11" w16cid:durableId="2395649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BFD"/>
    <w:rsid w:val="0015074B"/>
    <w:rsid w:val="001B22D6"/>
    <w:rsid w:val="001E3623"/>
    <w:rsid w:val="0029639D"/>
    <w:rsid w:val="00315743"/>
    <w:rsid w:val="00326F90"/>
    <w:rsid w:val="003F5313"/>
    <w:rsid w:val="00497705"/>
    <w:rsid w:val="00507695"/>
    <w:rsid w:val="0057250C"/>
    <w:rsid w:val="007A4F53"/>
    <w:rsid w:val="00807E5B"/>
    <w:rsid w:val="00836EAC"/>
    <w:rsid w:val="008A6EBB"/>
    <w:rsid w:val="00906D58"/>
    <w:rsid w:val="00A5424E"/>
    <w:rsid w:val="00A86F24"/>
    <w:rsid w:val="00AA1D8D"/>
    <w:rsid w:val="00B47730"/>
    <w:rsid w:val="00BB7D5C"/>
    <w:rsid w:val="00C21AE8"/>
    <w:rsid w:val="00C313B4"/>
    <w:rsid w:val="00C60F8C"/>
    <w:rsid w:val="00C73517"/>
    <w:rsid w:val="00CB0664"/>
    <w:rsid w:val="00CD3BC9"/>
    <w:rsid w:val="00E24D67"/>
    <w:rsid w:val="00F10D20"/>
    <w:rsid w:val="00F67B89"/>
    <w:rsid w:val="00F8288C"/>
    <w:rsid w:val="00F844A5"/>
    <w:rsid w:val="00FC693F"/>
    <w:rsid w:val="00FD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9B5141C-39BB-47DB-89A7-3802AB52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hart" Target="charts/chart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JOYLYN\OneDrive\Desktop\SUGAR%20FILES%20(DONT%20TOUCH)\ISEL%20AND%20BED\BED_BusinessAnalytics\Customer%20Segmentation%20&amp;%20Purchase%20Behavior%20Analysis\Checkpoint%202\Checkpoint%202%20-%20Spreadsheet%20&amp;%20Statistical%20Analysis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JOYLYN\OneDrive\Desktop\SUGAR%20FILES%20(DONT%20TOUCH)\ISEL%20AND%20BED\BED_BusinessAnalytics\Customer%20Segmentation%20&amp;%20Purchase%20Behavior%20Analysis\Checkpoint%202\Checkpoint%202%20-%20Spreadsheet%20&amp;%20Statistical%20Analysis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JOYLYN\OneDrive\Desktop\SUGAR%20FILES%20(DONT%20TOUCH)\ISEL%20AND%20BED\BED_BusinessAnalytics\Customer%20Segmentation%20&amp;%20Purchase%20Behavior%20Analysis\Checkpoint%202\Checkpoint%202%20-%20Spreadsheet%20&amp;%20Statistical%20Analysis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JOYLYN\OneDrive\Desktop\SUGAR%20FILES%20(DONT%20TOUCH)\ISEL%20AND%20BED\BED_BusinessAnalytics\Customer%20Segmentation%20&amp;%20Purchase%20Behavior%20Analysis\Checkpoint%202\Checkpoint%202%20-%20Spreadsheet%20&amp;%20Statistical%20Analysis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JOYLYN\OneDrive\Desktop\SUGAR%20FILES%20(DONT%20TOUCH)\ISEL%20AND%20BED\BED_BusinessAnalytics\Customer%20Segmentation%20&amp;%20Purchase%20Behavior%20Analysis\Checkpoint%202\Checkpoint%202%20-%20Spreadsheet%20&amp;%20Statistical%20Analysis.xlsx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JOYLYN\OneDrive\Desktop\SUGAR%20FILES%20(DONT%20TOUCH)\ISEL%20AND%20BED\BED_BusinessAnalytics\Customer%20Segmentation%20&amp;%20Purchase%20Behavior%20Analysis\Checkpoint%202\Checkpoint%202%20-%20Spreadsheet%20&amp;%20Statistical%20Analysi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en-US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PH"/>
              <a:t>Total Revenue by Country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'[Checkpoint 2 - Spreadsheet &amp; Statistical Analysis.xlsx]Pivot Analysis'!$C$5</c:f>
              <c:strCache>
                <c:ptCount val="1"/>
                <c:pt idx="0">
                  <c:v>Total Revenue</c:v>
                </c:pt>
              </c:strCache>
            </c:strRef>
          </c:tx>
          <c:spPr>
            <a:ln w="9525" cap="flat" cmpd="sng" algn="ctr">
              <a:solidFill>
                <a:schemeClr val="lt1">
                  <a:shade val="95000"/>
                  <a:satMod val="105000"/>
                </a:schemeClr>
              </a:solidFill>
              <a:prstDash val="solid"/>
              <a:round/>
            </a:ln>
          </c:spPr>
          <c:invertIfNegative val="0"/>
          <c:cat>
            <c:strRef>
              <c:f>'[Checkpoint 2 - Spreadsheet &amp; Statistical Analysis.xlsx]Pivot Analysis'!$A$6:$A$13</c:f>
              <c:strCache>
                <c:ptCount val="8"/>
                <c:pt idx="0">
                  <c:v>United Kingdom</c:v>
                </c:pt>
                <c:pt idx="1">
                  <c:v>Unknown (Guest)</c:v>
                </c:pt>
                <c:pt idx="2">
                  <c:v>Norway</c:v>
                </c:pt>
                <c:pt idx="3">
                  <c:v>France</c:v>
                </c:pt>
                <c:pt idx="4">
                  <c:v>EIRE</c:v>
                </c:pt>
                <c:pt idx="5">
                  <c:v>Germany</c:v>
                </c:pt>
                <c:pt idx="6">
                  <c:v>Australia</c:v>
                </c:pt>
                <c:pt idx="7">
                  <c:v>Netherlands</c:v>
                </c:pt>
              </c:strCache>
            </c:strRef>
          </c:cat>
          <c:val>
            <c:numRef>
              <c:f>'[Checkpoint 2 - Spreadsheet &amp; Statistical Analysis.xlsx]Pivot Analysis'!$C$6:$C$13</c:f>
              <c:numCache>
                <c:formatCode>#,##0.00</c:formatCode>
                <c:ptCount val="8"/>
                <c:pt idx="0">
                  <c:v>90181.379999999393</c:v>
                </c:pt>
                <c:pt idx="1">
                  <c:v>11838.89</c:v>
                </c:pt>
                <c:pt idx="2">
                  <c:v>1919.14</c:v>
                </c:pt>
                <c:pt idx="3">
                  <c:v>801.86</c:v>
                </c:pt>
                <c:pt idx="4">
                  <c:v>527.88</c:v>
                </c:pt>
                <c:pt idx="5">
                  <c:v>380.83</c:v>
                </c:pt>
                <c:pt idx="6">
                  <c:v>358.25</c:v>
                </c:pt>
                <c:pt idx="7">
                  <c:v>177.6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A68-4856-8625-664C8DFD2E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en-US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Country</a:t>
                </a:r>
              </a:p>
            </c:rich>
          </c:tx>
          <c:overlay val="0"/>
        </c:title>
        <c:numFmt formatCode="General" sourceLinked="0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1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en-US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Revenue (£)</a:t>
                </a:r>
              </a:p>
            </c:rich>
          </c:tx>
          <c:overlay val="0"/>
        </c:title>
        <c:numFmt formatCode="#,##0.00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</c:plotArea>
    <c:legend>
      <c:legendPos val="r"/>
      <c:overlay val="0"/>
      <c:txPr>
        <a:bodyPr rot="0" spcFirstLastPara="0" vertOverflow="ellipsis" vert="horz" wrap="square" anchor="ctr" anchorCtr="1"/>
        <a:lstStyle/>
        <a:p>
          <a:pPr>
            <a:defRPr lang="en-US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5bc3dd0-0478-4a2a-8556-13f40ffc2816}"/>
      </c:ext>
    </c:extLst>
  </c:chart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1"/>
    </mc:Choice>
    <mc:Fallback>
      <c:style val="11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en-US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PH"/>
              <a:t>Top 15 Products by Revenue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'[Checkpoint 2 - Spreadsheet &amp; Statistical Analysis.xlsx]Pivot Analysis'!$C$17</c:f>
              <c:strCache>
                <c:ptCount val="1"/>
                <c:pt idx="0">
                  <c:v>Total Revenue</c:v>
                </c:pt>
              </c:strCache>
            </c:strRef>
          </c:tx>
          <c:spPr>
            <a:ln w="9525" cap="flat" cmpd="sng" algn="ctr">
              <a:solidFill>
                <a:schemeClr val="lt1">
                  <a:shade val="95000"/>
                  <a:satMod val="105000"/>
                </a:schemeClr>
              </a:solidFill>
              <a:prstDash val="solid"/>
              <a:round/>
            </a:ln>
          </c:spPr>
          <c:invertIfNegative val="0"/>
          <c:cat>
            <c:numRef>
              <c:f>'[Checkpoint 2 - Spreadsheet &amp; Statistical Analysis.xlsx]Pivot Analysis'!$A$18:$A$32</c:f>
              <c:numCache>
                <c:formatCode>General</c:formatCode>
                <c:ptCount val="15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</c:numCache>
            </c:numRef>
          </c:cat>
          <c:val>
            <c:numRef>
              <c:f>'[Checkpoint 2 - Spreadsheet &amp; Statistical Analysis.xlsx]Pivot Analysis'!$C$18:$C$32</c:f>
              <c:numCache>
                <c:formatCode>#,##0.00</c:formatCode>
                <c:ptCount val="1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E72-49EE-A2E2-40C09F70A9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1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en-US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Revenue (£)</a:t>
                </a:r>
              </a:p>
            </c:rich>
          </c:tx>
          <c:overlay val="0"/>
        </c:title>
        <c:numFmt formatCode="#,##0.00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</c:plotArea>
    <c:legend>
      <c:legendPos val="r"/>
      <c:overlay val="0"/>
      <c:txPr>
        <a:bodyPr rot="0" spcFirstLastPara="0" vertOverflow="ellipsis" vert="horz" wrap="square" anchor="ctr" anchorCtr="1"/>
        <a:lstStyle/>
        <a:p>
          <a:pPr>
            <a:defRPr lang="en-US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43526046-6e2e-44f9-b10f-7b7d31b03021}"/>
      </c:ext>
    </c:extLst>
  </c:chart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2"/>
    </mc:Choice>
    <mc:Fallback>
      <c:style val="1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en-US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PH"/>
              <a:t>Order Count by Hour of Day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'[Checkpoint 2 - Spreadsheet &amp; Statistical Analysis.xlsx]Pivot Analysis'!$B$36</c:f>
              <c:strCache>
                <c:ptCount val="1"/>
                <c:pt idx="0">
                  <c:v>Order Count (approx., counts line items' hour)</c:v>
                </c:pt>
              </c:strCache>
            </c:strRef>
          </c:tx>
          <c:spPr>
            <a:ln w="47625" cap="rnd" cmpd="sng" algn="ctr">
              <a:solidFill>
                <a:schemeClr val="accent2">
                  <a:shade val="95000"/>
                  <a:satMod val="105000"/>
                </a:schemeClr>
              </a:solidFill>
              <a:prstDash val="solid"/>
              <a:round/>
            </a:ln>
          </c:spPr>
          <c:marker>
            <c:symbol val="none"/>
          </c:marker>
          <c:cat>
            <c:numRef>
              <c:f>'[Checkpoint 2 - Spreadsheet &amp; Statistical Analysis.xlsx]Pivot Analysis'!$A$37:$A$49</c:f>
              <c:numCache>
                <c:formatCode>General</c:formatCode>
                <c:ptCount val="13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</c:numCache>
            </c:numRef>
          </c:cat>
          <c:val>
            <c:numRef>
              <c:f>'[Checkpoint 2 - Spreadsheet &amp; Statistical Analysis.xlsx]Pivot Analysis'!$B$37:$B$49</c:f>
              <c:numCache>
                <c:formatCode>General</c:formatCode>
                <c:ptCount val="13"/>
                <c:pt idx="0">
                  <c:v>10</c:v>
                </c:pt>
                <c:pt idx="1">
                  <c:v>97</c:v>
                </c:pt>
                <c:pt idx="2">
                  <c:v>251</c:v>
                </c:pt>
                <c:pt idx="3">
                  <c:v>315</c:v>
                </c:pt>
                <c:pt idx="4">
                  <c:v>602</c:v>
                </c:pt>
                <c:pt idx="5">
                  <c:v>608</c:v>
                </c:pt>
                <c:pt idx="6">
                  <c:v>488</c:v>
                </c:pt>
                <c:pt idx="7">
                  <c:v>923</c:v>
                </c:pt>
                <c:pt idx="8">
                  <c:v>505</c:v>
                </c:pt>
                <c:pt idx="9">
                  <c:v>301</c:v>
                </c:pt>
                <c:pt idx="10">
                  <c:v>734</c:v>
                </c:pt>
                <c:pt idx="11">
                  <c:v>122</c:v>
                </c:pt>
                <c:pt idx="12">
                  <c:v>99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D5BA-4144-BE71-7294DEF02FA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en-US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Hour (24h)</a:t>
                </a:r>
              </a:p>
            </c:rich>
          </c:tx>
          <c:overlay val="0"/>
        </c:title>
        <c:numFmt formatCode="General" sourceLinked="0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1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en-US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Number of Orders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</c:plotArea>
    <c:legend>
      <c:legendPos val="r"/>
      <c:overlay val="0"/>
      <c:txPr>
        <a:bodyPr rot="0" spcFirstLastPara="0" vertOverflow="ellipsis" vert="horz" wrap="square" anchor="ctr" anchorCtr="1"/>
        <a:lstStyle/>
        <a:p>
          <a:pPr>
            <a:defRPr lang="en-US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fd2b837-aeb1-47ed-a9f6-e1fff7b21bfd}"/>
      </c:ext>
    </c:extLst>
  </c:chart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en-US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PH"/>
              <a:t>Frequency Distribution — Quantity per Order Line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'[Checkpoint 2 - Spreadsheet &amp; Statistical Analysis.xlsx]Descriptive Statistics'!$B$17</c:f>
              <c:strCache>
                <c:ptCount val="1"/>
                <c:pt idx="0">
                  <c:v>Frequency (count of lines)</c:v>
                </c:pt>
              </c:strCache>
            </c:strRef>
          </c:tx>
          <c:spPr>
            <a:ln w="9525" cap="flat" cmpd="sng" algn="ctr">
              <a:solidFill>
                <a:schemeClr val="lt1">
                  <a:shade val="95000"/>
                  <a:satMod val="105000"/>
                </a:schemeClr>
              </a:solidFill>
              <a:prstDash val="solid"/>
              <a:round/>
            </a:ln>
          </c:spPr>
          <c:invertIfNegative val="0"/>
          <c:cat>
            <c:strRef>
              <c:f>'[Checkpoint 2 - Spreadsheet &amp; Statistical Analysis.xlsx]Descriptive Statistics'!$A$18:$A$25</c:f>
              <c:strCache>
                <c:ptCount val="8"/>
                <c:pt idx="0">
                  <c:v>1</c:v>
                </c:pt>
                <c:pt idx="1">
                  <c:v>2</c:v>
                </c:pt>
                <c:pt idx="2">
                  <c:v>3-5</c:v>
                </c:pt>
                <c:pt idx="3">
                  <c:v>6-10</c:v>
                </c:pt>
                <c:pt idx="4">
                  <c:v>11-25</c:v>
                </c:pt>
                <c:pt idx="5">
                  <c:v>26-50</c:v>
                </c:pt>
                <c:pt idx="6">
                  <c:v>51-100</c:v>
                </c:pt>
                <c:pt idx="7">
                  <c:v>100+</c:v>
                </c:pt>
              </c:strCache>
            </c:strRef>
          </c:cat>
          <c:val>
            <c:numRef>
              <c:f>'[Checkpoint 2 - Spreadsheet &amp; Statistical Analysis.xlsx]Descriptive Statistics'!$B$18:$B$25</c:f>
              <c:numCache>
                <c:formatCode>General</c:formatCode>
                <c:ptCount val="8"/>
                <c:pt idx="0">
                  <c:v>1509</c:v>
                </c:pt>
                <c:pt idx="1">
                  <c:v>700</c:v>
                </c:pt>
                <c:pt idx="2">
                  <c:v>730</c:v>
                </c:pt>
                <c:pt idx="3">
                  <c:v>814</c:v>
                </c:pt>
                <c:pt idx="4">
                  <c:v>981</c:v>
                </c:pt>
                <c:pt idx="5">
                  <c:v>175</c:v>
                </c:pt>
                <c:pt idx="6">
                  <c:v>81</c:v>
                </c:pt>
                <c:pt idx="7">
                  <c:v>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774-4404-82A4-2A1F9E2170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en-US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Quantity Bucket</a:t>
                </a:r>
              </a:p>
            </c:rich>
          </c:tx>
          <c:overlay val="0"/>
        </c:title>
        <c:numFmt formatCode="General" sourceLinked="0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1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en-US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Number of Order Lines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</c:plotArea>
    <c:legend>
      <c:legendPos val="r"/>
      <c:overlay val="0"/>
      <c:txPr>
        <a:bodyPr rot="0" spcFirstLastPara="0" vertOverflow="ellipsis" vert="horz" wrap="square" anchor="ctr" anchorCtr="1"/>
        <a:lstStyle/>
        <a:p>
          <a:pPr>
            <a:defRPr lang="en-US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afa6e433-a267-4e3d-81b4-b19e88439bb8}"/>
      </c:ext>
    </c:extLst>
  </c:chart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en-US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PH"/>
              <a:t>Items per Invoice vs. Invoice Value</a:t>
            </a:r>
          </a:p>
        </c:rich>
      </c:tx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"Invoices"</c:f>
              <c:strCache>
                <c:ptCount val="1"/>
                <c:pt idx="0">
                  <c:v>Invoices</c:v>
                </c:pt>
              </c:strCache>
            </c:strRef>
          </c:tx>
          <c:spPr>
            <a:ln w="28575" cap="rnd" cmpd="sng" algn="ctr">
              <a:noFill/>
              <a:prstDash val="solid"/>
              <a:round/>
            </a:ln>
          </c:spPr>
          <c:marker>
            <c:symbol val="circle"/>
            <c:size val="7"/>
            <c:spPr>
              <a:ln w="9525" cap="flat" cmpd="sng" algn="ctr">
                <a:solidFill>
                  <a:schemeClr val="accent1">
                    <a:shade val="95000"/>
                    <a:satMod val="105000"/>
                  </a:schemeClr>
                </a:solidFill>
                <a:prstDash val="solid"/>
                <a:round/>
              </a:ln>
            </c:spPr>
          </c:marker>
          <c:trendline>
            <c:trendlineType val="linear"/>
            <c:dispRSqr val="1"/>
            <c:dispEq val="1"/>
            <c:trendlineLbl>
              <c:numFmt formatCode="General" sourceLinked="0"/>
              <c:txPr>
                <a:bodyPr rot="0" spcFirstLastPara="0" vertOverflow="ellipsis" vert="horz" wrap="square" anchor="ctr" anchorCtr="1"/>
                <a:lstStyle/>
                <a:p>
                  <a:pPr>
                    <a:defRPr lang="en-US" sz="1000" b="0" i="0" u="none" strike="noStrike" kern="1200" baseline="0">
                      <a:solidFill>
                        <a:schemeClr val="tx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'[Checkpoint 2 - Spreadsheet &amp; Statistical Analysis.xlsx]Correlation Analysis'!$B$9:$B$279</c:f>
              <c:numCache>
                <c:formatCode>General</c:formatCode>
                <c:ptCount val="271"/>
                <c:pt idx="0">
                  <c:v>7</c:v>
                </c:pt>
                <c:pt idx="1">
                  <c:v>2</c:v>
                </c:pt>
                <c:pt idx="2">
                  <c:v>12</c:v>
                </c:pt>
                <c:pt idx="3">
                  <c:v>4</c:v>
                </c:pt>
                <c:pt idx="4">
                  <c:v>1</c:v>
                </c:pt>
                <c:pt idx="5">
                  <c:v>19</c:v>
                </c:pt>
                <c:pt idx="6">
                  <c:v>1</c:v>
                </c:pt>
                <c:pt idx="7">
                  <c:v>2</c:v>
                </c:pt>
                <c:pt idx="8">
                  <c:v>16</c:v>
                </c:pt>
                <c:pt idx="9">
                  <c:v>1</c:v>
                </c:pt>
                <c:pt idx="10">
                  <c:v>16</c:v>
                </c:pt>
                <c:pt idx="11">
                  <c:v>2</c:v>
                </c:pt>
                <c:pt idx="12">
                  <c:v>2</c:v>
                </c:pt>
                <c:pt idx="13">
                  <c:v>19</c:v>
                </c:pt>
                <c:pt idx="14">
                  <c:v>1</c:v>
                </c:pt>
                <c:pt idx="15">
                  <c:v>35</c:v>
                </c:pt>
                <c:pt idx="16">
                  <c:v>12</c:v>
                </c:pt>
                <c:pt idx="17">
                  <c:v>13</c:v>
                </c:pt>
                <c:pt idx="18">
                  <c:v>7</c:v>
                </c:pt>
                <c:pt idx="19">
                  <c:v>3</c:v>
                </c:pt>
                <c:pt idx="20">
                  <c:v>5</c:v>
                </c:pt>
                <c:pt idx="21">
                  <c:v>14</c:v>
                </c:pt>
                <c:pt idx="22">
                  <c:v>14</c:v>
                </c:pt>
                <c:pt idx="23">
                  <c:v>24</c:v>
                </c:pt>
                <c:pt idx="24">
                  <c:v>10</c:v>
                </c:pt>
                <c:pt idx="25">
                  <c:v>1</c:v>
                </c:pt>
                <c:pt idx="26">
                  <c:v>11</c:v>
                </c:pt>
                <c:pt idx="27">
                  <c:v>14</c:v>
                </c:pt>
                <c:pt idx="28">
                  <c:v>18</c:v>
                </c:pt>
                <c:pt idx="29">
                  <c:v>2</c:v>
                </c:pt>
                <c:pt idx="30">
                  <c:v>17</c:v>
                </c:pt>
                <c:pt idx="31">
                  <c:v>2</c:v>
                </c:pt>
                <c:pt idx="32">
                  <c:v>1</c:v>
                </c:pt>
                <c:pt idx="33">
                  <c:v>64</c:v>
                </c:pt>
                <c:pt idx="34">
                  <c:v>3</c:v>
                </c:pt>
                <c:pt idx="35">
                  <c:v>1</c:v>
                </c:pt>
                <c:pt idx="36">
                  <c:v>28</c:v>
                </c:pt>
                <c:pt idx="37">
                  <c:v>1</c:v>
                </c:pt>
                <c:pt idx="38">
                  <c:v>17</c:v>
                </c:pt>
                <c:pt idx="39">
                  <c:v>2</c:v>
                </c:pt>
                <c:pt idx="40">
                  <c:v>48</c:v>
                </c:pt>
                <c:pt idx="41">
                  <c:v>54</c:v>
                </c:pt>
                <c:pt idx="42">
                  <c:v>68</c:v>
                </c:pt>
                <c:pt idx="43">
                  <c:v>59</c:v>
                </c:pt>
                <c:pt idx="44">
                  <c:v>6</c:v>
                </c:pt>
                <c:pt idx="45">
                  <c:v>14</c:v>
                </c:pt>
                <c:pt idx="46">
                  <c:v>9</c:v>
                </c:pt>
                <c:pt idx="47">
                  <c:v>17</c:v>
                </c:pt>
                <c:pt idx="48">
                  <c:v>6</c:v>
                </c:pt>
                <c:pt idx="49">
                  <c:v>31</c:v>
                </c:pt>
                <c:pt idx="50">
                  <c:v>14</c:v>
                </c:pt>
                <c:pt idx="51">
                  <c:v>1</c:v>
                </c:pt>
                <c:pt idx="52">
                  <c:v>81</c:v>
                </c:pt>
                <c:pt idx="53">
                  <c:v>2</c:v>
                </c:pt>
                <c:pt idx="54">
                  <c:v>14</c:v>
                </c:pt>
                <c:pt idx="55">
                  <c:v>34</c:v>
                </c:pt>
                <c:pt idx="56">
                  <c:v>15</c:v>
                </c:pt>
                <c:pt idx="57">
                  <c:v>5</c:v>
                </c:pt>
                <c:pt idx="58">
                  <c:v>2</c:v>
                </c:pt>
                <c:pt idx="59">
                  <c:v>5</c:v>
                </c:pt>
                <c:pt idx="60">
                  <c:v>71</c:v>
                </c:pt>
                <c:pt idx="61">
                  <c:v>1</c:v>
                </c:pt>
                <c:pt idx="62">
                  <c:v>52</c:v>
                </c:pt>
                <c:pt idx="63">
                  <c:v>12</c:v>
                </c:pt>
                <c:pt idx="64">
                  <c:v>4</c:v>
                </c:pt>
                <c:pt idx="65">
                  <c:v>13</c:v>
                </c:pt>
                <c:pt idx="66">
                  <c:v>9</c:v>
                </c:pt>
                <c:pt idx="67">
                  <c:v>14</c:v>
                </c:pt>
                <c:pt idx="68">
                  <c:v>48</c:v>
                </c:pt>
                <c:pt idx="69">
                  <c:v>9</c:v>
                </c:pt>
                <c:pt idx="70">
                  <c:v>22</c:v>
                </c:pt>
                <c:pt idx="71">
                  <c:v>22</c:v>
                </c:pt>
                <c:pt idx="72">
                  <c:v>73</c:v>
                </c:pt>
                <c:pt idx="73">
                  <c:v>6</c:v>
                </c:pt>
                <c:pt idx="74">
                  <c:v>5</c:v>
                </c:pt>
                <c:pt idx="75">
                  <c:v>12</c:v>
                </c:pt>
                <c:pt idx="76">
                  <c:v>3</c:v>
                </c:pt>
                <c:pt idx="77">
                  <c:v>11</c:v>
                </c:pt>
                <c:pt idx="78">
                  <c:v>31</c:v>
                </c:pt>
                <c:pt idx="79">
                  <c:v>27</c:v>
                </c:pt>
                <c:pt idx="80">
                  <c:v>19</c:v>
                </c:pt>
                <c:pt idx="81">
                  <c:v>1</c:v>
                </c:pt>
                <c:pt idx="82">
                  <c:v>16</c:v>
                </c:pt>
                <c:pt idx="83">
                  <c:v>526</c:v>
                </c:pt>
                <c:pt idx="84">
                  <c:v>31</c:v>
                </c:pt>
                <c:pt idx="85">
                  <c:v>2</c:v>
                </c:pt>
                <c:pt idx="86">
                  <c:v>8</c:v>
                </c:pt>
                <c:pt idx="87">
                  <c:v>64</c:v>
                </c:pt>
                <c:pt idx="88">
                  <c:v>1</c:v>
                </c:pt>
                <c:pt idx="89">
                  <c:v>8</c:v>
                </c:pt>
                <c:pt idx="90">
                  <c:v>13</c:v>
                </c:pt>
                <c:pt idx="91">
                  <c:v>15</c:v>
                </c:pt>
                <c:pt idx="92">
                  <c:v>18</c:v>
                </c:pt>
                <c:pt idx="93">
                  <c:v>9</c:v>
                </c:pt>
                <c:pt idx="94">
                  <c:v>2</c:v>
                </c:pt>
                <c:pt idx="95">
                  <c:v>2</c:v>
                </c:pt>
                <c:pt idx="96">
                  <c:v>6</c:v>
                </c:pt>
                <c:pt idx="97">
                  <c:v>7</c:v>
                </c:pt>
                <c:pt idx="98">
                  <c:v>1</c:v>
                </c:pt>
                <c:pt idx="99">
                  <c:v>63</c:v>
                </c:pt>
                <c:pt idx="100">
                  <c:v>5</c:v>
                </c:pt>
                <c:pt idx="101">
                  <c:v>18</c:v>
                </c:pt>
                <c:pt idx="102">
                  <c:v>21</c:v>
                </c:pt>
                <c:pt idx="103">
                  <c:v>4</c:v>
                </c:pt>
                <c:pt idx="104">
                  <c:v>1</c:v>
                </c:pt>
                <c:pt idx="105">
                  <c:v>8</c:v>
                </c:pt>
                <c:pt idx="106">
                  <c:v>16</c:v>
                </c:pt>
                <c:pt idx="107">
                  <c:v>4</c:v>
                </c:pt>
                <c:pt idx="108">
                  <c:v>8</c:v>
                </c:pt>
                <c:pt idx="109">
                  <c:v>2</c:v>
                </c:pt>
                <c:pt idx="110">
                  <c:v>6</c:v>
                </c:pt>
                <c:pt idx="111">
                  <c:v>1</c:v>
                </c:pt>
                <c:pt idx="112">
                  <c:v>17</c:v>
                </c:pt>
                <c:pt idx="113">
                  <c:v>1</c:v>
                </c:pt>
                <c:pt idx="114">
                  <c:v>1</c:v>
                </c:pt>
                <c:pt idx="115">
                  <c:v>1</c:v>
                </c:pt>
                <c:pt idx="116">
                  <c:v>7</c:v>
                </c:pt>
                <c:pt idx="117">
                  <c:v>22</c:v>
                </c:pt>
                <c:pt idx="118">
                  <c:v>11</c:v>
                </c:pt>
                <c:pt idx="119">
                  <c:v>14</c:v>
                </c:pt>
                <c:pt idx="120">
                  <c:v>40</c:v>
                </c:pt>
                <c:pt idx="121">
                  <c:v>591</c:v>
                </c:pt>
                <c:pt idx="122">
                  <c:v>5</c:v>
                </c:pt>
                <c:pt idx="123">
                  <c:v>5</c:v>
                </c:pt>
                <c:pt idx="124">
                  <c:v>11</c:v>
                </c:pt>
                <c:pt idx="125">
                  <c:v>6</c:v>
                </c:pt>
                <c:pt idx="126">
                  <c:v>28</c:v>
                </c:pt>
                <c:pt idx="127">
                  <c:v>4</c:v>
                </c:pt>
                <c:pt idx="128">
                  <c:v>6</c:v>
                </c:pt>
                <c:pt idx="129">
                  <c:v>12</c:v>
                </c:pt>
                <c:pt idx="130">
                  <c:v>2</c:v>
                </c:pt>
                <c:pt idx="131">
                  <c:v>12</c:v>
                </c:pt>
                <c:pt idx="132">
                  <c:v>2</c:v>
                </c:pt>
                <c:pt idx="133">
                  <c:v>9</c:v>
                </c:pt>
                <c:pt idx="134">
                  <c:v>15</c:v>
                </c:pt>
                <c:pt idx="135">
                  <c:v>18</c:v>
                </c:pt>
                <c:pt idx="136">
                  <c:v>3</c:v>
                </c:pt>
                <c:pt idx="137">
                  <c:v>16</c:v>
                </c:pt>
                <c:pt idx="138">
                  <c:v>2</c:v>
                </c:pt>
                <c:pt idx="139">
                  <c:v>14</c:v>
                </c:pt>
                <c:pt idx="140">
                  <c:v>15</c:v>
                </c:pt>
                <c:pt idx="141">
                  <c:v>17</c:v>
                </c:pt>
                <c:pt idx="142">
                  <c:v>2</c:v>
                </c:pt>
                <c:pt idx="143">
                  <c:v>12</c:v>
                </c:pt>
                <c:pt idx="144">
                  <c:v>1</c:v>
                </c:pt>
                <c:pt idx="145">
                  <c:v>11</c:v>
                </c:pt>
                <c:pt idx="146">
                  <c:v>21</c:v>
                </c:pt>
                <c:pt idx="147">
                  <c:v>2</c:v>
                </c:pt>
                <c:pt idx="148">
                  <c:v>23</c:v>
                </c:pt>
                <c:pt idx="149">
                  <c:v>10</c:v>
                </c:pt>
                <c:pt idx="150">
                  <c:v>48</c:v>
                </c:pt>
                <c:pt idx="151">
                  <c:v>22</c:v>
                </c:pt>
                <c:pt idx="152">
                  <c:v>1</c:v>
                </c:pt>
                <c:pt idx="153">
                  <c:v>14</c:v>
                </c:pt>
                <c:pt idx="154">
                  <c:v>16</c:v>
                </c:pt>
                <c:pt idx="155">
                  <c:v>2</c:v>
                </c:pt>
                <c:pt idx="156">
                  <c:v>16</c:v>
                </c:pt>
                <c:pt idx="157">
                  <c:v>2</c:v>
                </c:pt>
                <c:pt idx="158">
                  <c:v>21</c:v>
                </c:pt>
                <c:pt idx="159">
                  <c:v>18</c:v>
                </c:pt>
                <c:pt idx="160">
                  <c:v>14</c:v>
                </c:pt>
                <c:pt idx="161">
                  <c:v>20</c:v>
                </c:pt>
                <c:pt idx="162">
                  <c:v>1</c:v>
                </c:pt>
                <c:pt idx="163">
                  <c:v>59</c:v>
                </c:pt>
                <c:pt idx="164">
                  <c:v>63</c:v>
                </c:pt>
                <c:pt idx="165">
                  <c:v>16</c:v>
                </c:pt>
                <c:pt idx="166">
                  <c:v>11</c:v>
                </c:pt>
                <c:pt idx="167">
                  <c:v>1</c:v>
                </c:pt>
                <c:pt idx="168">
                  <c:v>27</c:v>
                </c:pt>
                <c:pt idx="169">
                  <c:v>6</c:v>
                </c:pt>
                <c:pt idx="170">
                  <c:v>16</c:v>
                </c:pt>
                <c:pt idx="171">
                  <c:v>1</c:v>
                </c:pt>
                <c:pt idx="172">
                  <c:v>5</c:v>
                </c:pt>
                <c:pt idx="173">
                  <c:v>4</c:v>
                </c:pt>
                <c:pt idx="174">
                  <c:v>8</c:v>
                </c:pt>
                <c:pt idx="175">
                  <c:v>21</c:v>
                </c:pt>
                <c:pt idx="176">
                  <c:v>9</c:v>
                </c:pt>
                <c:pt idx="177">
                  <c:v>13</c:v>
                </c:pt>
                <c:pt idx="178">
                  <c:v>17</c:v>
                </c:pt>
                <c:pt idx="179">
                  <c:v>2</c:v>
                </c:pt>
                <c:pt idx="180">
                  <c:v>17</c:v>
                </c:pt>
                <c:pt idx="181">
                  <c:v>2</c:v>
                </c:pt>
                <c:pt idx="182">
                  <c:v>16</c:v>
                </c:pt>
                <c:pt idx="183">
                  <c:v>13</c:v>
                </c:pt>
                <c:pt idx="184">
                  <c:v>26</c:v>
                </c:pt>
                <c:pt idx="185">
                  <c:v>14</c:v>
                </c:pt>
                <c:pt idx="186">
                  <c:v>1</c:v>
                </c:pt>
                <c:pt idx="187">
                  <c:v>5</c:v>
                </c:pt>
                <c:pt idx="188">
                  <c:v>7</c:v>
                </c:pt>
                <c:pt idx="189">
                  <c:v>12</c:v>
                </c:pt>
                <c:pt idx="190">
                  <c:v>7</c:v>
                </c:pt>
                <c:pt idx="191">
                  <c:v>15</c:v>
                </c:pt>
                <c:pt idx="192">
                  <c:v>49</c:v>
                </c:pt>
                <c:pt idx="193">
                  <c:v>35</c:v>
                </c:pt>
                <c:pt idx="194">
                  <c:v>10</c:v>
                </c:pt>
                <c:pt idx="195">
                  <c:v>10</c:v>
                </c:pt>
                <c:pt idx="196">
                  <c:v>13</c:v>
                </c:pt>
                <c:pt idx="197">
                  <c:v>12</c:v>
                </c:pt>
                <c:pt idx="198">
                  <c:v>5</c:v>
                </c:pt>
                <c:pt idx="199">
                  <c:v>57</c:v>
                </c:pt>
                <c:pt idx="200">
                  <c:v>19</c:v>
                </c:pt>
                <c:pt idx="201">
                  <c:v>2</c:v>
                </c:pt>
                <c:pt idx="202">
                  <c:v>19</c:v>
                </c:pt>
                <c:pt idx="203">
                  <c:v>2</c:v>
                </c:pt>
                <c:pt idx="204">
                  <c:v>50</c:v>
                </c:pt>
                <c:pt idx="205">
                  <c:v>15</c:v>
                </c:pt>
                <c:pt idx="206">
                  <c:v>19</c:v>
                </c:pt>
                <c:pt idx="207">
                  <c:v>17</c:v>
                </c:pt>
                <c:pt idx="208">
                  <c:v>7</c:v>
                </c:pt>
                <c:pt idx="209">
                  <c:v>20</c:v>
                </c:pt>
                <c:pt idx="210">
                  <c:v>12</c:v>
                </c:pt>
                <c:pt idx="211">
                  <c:v>31</c:v>
                </c:pt>
                <c:pt idx="212">
                  <c:v>7</c:v>
                </c:pt>
                <c:pt idx="213">
                  <c:v>5</c:v>
                </c:pt>
                <c:pt idx="214">
                  <c:v>14</c:v>
                </c:pt>
                <c:pt idx="215">
                  <c:v>4</c:v>
                </c:pt>
                <c:pt idx="216">
                  <c:v>1</c:v>
                </c:pt>
                <c:pt idx="217">
                  <c:v>27</c:v>
                </c:pt>
                <c:pt idx="218">
                  <c:v>38</c:v>
                </c:pt>
                <c:pt idx="219">
                  <c:v>25</c:v>
                </c:pt>
                <c:pt idx="220">
                  <c:v>6</c:v>
                </c:pt>
                <c:pt idx="221">
                  <c:v>2</c:v>
                </c:pt>
                <c:pt idx="222">
                  <c:v>13</c:v>
                </c:pt>
                <c:pt idx="223">
                  <c:v>1</c:v>
                </c:pt>
                <c:pt idx="224">
                  <c:v>2</c:v>
                </c:pt>
                <c:pt idx="225">
                  <c:v>17</c:v>
                </c:pt>
                <c:pt idx="226">
                  <c:v>2</c:v>
                </c:pt>
                <c:pt idx="227">
                  <c:v>1</c:v>
                </c:pt>
                <c:pt idx="228">
                  <c:v>11</c:v>
                </c:pt>
                <c:pt idx="229">
                  <c:v>4</c:v>
                </c:pt>
                <c:pt idx="230">
                  <c:v>7</c:v>
                </c:pt>
                <c:pt idx="231">
                  <c:v>105</c:v>
                </c:pt>
                <c:pt idx="232">
                  <c:v>6</c:v>
                </c:pt>
                <c:pt idx="233">
                  <c:v>29</c:v>
                </c:pt>
                <c:pt idx="234">
                  <c:v>18</c:v>
                </c:pt>
                <c:pt idx="235">
                  <c:v>19</c:v>
                </c:pt>
                <c:pt idx="236">
                  <c:v>14</c:v>
                </c:pt>
                <c:pt idx="237">
                  <c:v>8</c:v>
                </c:pt>
                <c:pt idx="238">
                  <c:v>1</c:v>
                </c:pt>
                <c:pt idx="239">
                  <c:v>25</c:v>
                </c:pt>
                <c:pt idx="240">
                  <c:v>20</c:v>
                </c:pt>
                <c:pt idx="241">
                  <c:v>5</c:v>
                </c:pt>
                <c:pt idx="242">
                  <c:v>12</c:v>
                </c:pt>
                <c:pt idx="243">
                  <c:v>1</c:v>
                </c:pt>
                <c:pt idx="244">
                  <c:v>1</c:v>
                </c:pt>
                <c:pt idx="245">
                  <c:v>1</c:v>
                </c:pt>
                <c:pt idx="246">
                  <c:v>17</c:v>
                </c:pt>
                <c:pt idx="247">
                  <c:v>17</c:v>
                </c:pt>
                <c:pt idx="248">
                  <c:v>23</c:v>
                </c:pt>
                <c:pt idx="249">
                  <c:v>3</c:v>
                </c:pt>
                <c:pt idx="250">
                  <c:v>1</c:v>
                </c:pt>
                <c:pt idx="251">
                  <c:v>2</c:v>
                </c:pt>
                <c:pt idx="252">
                  <c:v>4</c:v>
                </c:pt>
                <c:pt idx="253">
                  <c:v>8</c:v>
                </c:pt>
                <c:pt idx="254">
                  <c:v>29</c:v>
                </c:pt>
                <c:pt idx="255">
                  <c:v>1</c:v>
                </c:pt>
                <c:pt idx="256">
                  <c:v>1</c:v>
                </c:pt>
                <c:pt idx="257">
                  <c:v>27</c:v>
                </c:pt>
                <c:pt idx="258">
                  <c:v>27</c:v>
                </c:pt>
                <c:pt idx="259">
                  <c:v>3</c:v>
                </c:pt>
                <c:pt idx="260">
                  <c:v>16</c:v>
                </c:pt>
                <c:pt idx="261">
                  <c:v>10</c:v>
                </c:pt>
                <c:pt idx="262">
                  <c:v>22</c:v>
                </c:pt>
                <c:pt idx="263">
                  <c:v>11</c:v>
                </c:pt>
                <c:pt idx="264">
                  <c:v>2</c:v>
                </c:pt>
                <c:pt idx="265">
                  <c:v>3</c:v>
                </c:pt>
                <c:pt idx="266">
                  <c:v>29</c:v>
                </c:pt>
                <c:pt idx="267">
                  <c:v>70</c:v>
                </c:pt>
                <c:pt idx="268">
                  <c:v>9</c:v>
                </c:pt>
                <c:pt idx="269">
                  <c:v>3</c:v>
                </c:pt>
                <c:pt idx="270">
                  <c:v>3</c:v>
                </c:pt>
              </c:numCache>
            </c:numRef>
          </c:xVal>
          <c:yVal>
            <c:numRef>
              <c:f>'[Checkpoint 2 - Spreadsheet &amp; Statistical Analysis.xlsx]Correlation Analysis'!$C$9:$C$279</c:f>
              <c:numCache>
                <c:formatCode>General</c:formatCode>
                <c:ptCount val="271"/>
                <c:pt idx="0">
                  <c:v>139.12</c:v>
                </c:pt>
                <c:pt idx="1">
                  <c:v>22.2</c:v>
                </c:pt>
                <c:pt idx="2">
                  <c:v>278.73</c:v>
                </c:pt>
                <c:pt idx="3">
                  <c:v>70.05</c:v>
                </c:pt>
                <c:pt idx="4">
                  <c:v>17.850000000000001</c:v>
                </c:pt>
                <c:pt idx="5">
                  <c:v>801.86</c:v>
                </c:pt>
                <c:pt idx="6">
                  <c:v>204</c:v>
                </c:pt>
                <c:pt idx="7">
                  <c:v>22.2</c:v>
                </c:pt>
                <c:pt idx="8">
                  <c:v>259.86</c:v>
                </c:pt>
                <c:pt idx="9">
                  <c:v>350.4</c:v>
                </c:pt>
                <c:pt idx="10">
                  <c:v>259.86</c:v>
                </c:pt>
                <c:pt idx="11">
                  <c:v>328.8</c:v>
                </c:pt>
                <c:pt idx="12">
                  <c:v>22.2</c:v>
                </c:pt>
                <c:pt idx="13">
                  <c:v>444.98</c:v>
                </c:pt>
                <c:pt idx="14">
                  <c:v>34.799999999999997</c:v>
                </c:pt>
                <c:pt idx="15">
                  <c:v>449.98</c:v>
                </c:pt>
                <c:pt idx="16">
                  <c:v>430.6</c:v>
                </c:pt>
                <c:pt idx="17">
                  <c:v>489.6</c:v>
                </c:pt>
                <c:pt idx="18">
                  <c:v>130.85</c:v>
                </c:pt>
                <c:pt idx="19">
                  <c:v>508.2</c:v>
                </c:pt>
                <c:pt idx="20">
                  <c:v>3193.92</c:v>
                </c:pt>
                <c:pt idx="21">
                  <c:v>226.14</c:v>
                </c:pt>
                <c:pt idx="22">
                  <c:v>358.25</c:v>
                </c:pt>
                <c:pt idx="23">
                  <c:v>1825.74</c:v>
                </c:pt>
                <c:pt idx="24">
                  <c:v>318.14</c:v>
                </c:pt>
                <c:pt idx="25">
                  <c:v>79.599999999999994</c:v>
                </c:pt>
                <c:pt idx="26">
                  <c:v>1024.68</c:v>
                </c:pt>
                <c:pt idx="27">
                  <c:v>507.88</c:v>
                </c:pt>
                <c:pt idx="28">
                  <c:v>376.36</c:v>
                </c:pt>
                <c:pt idx="29">
                  <c:v>279</c:v>
                </c:pt>
                <c:pt idx="30">
                  <c:v>426.56</c:v>
                </c:pt>
                <c:pt idx="31">
                  <c:v>22.2</c:v>
                </c:pt>
                <c:pt idx="32">
                  <c:v>17.399999999999999</c:v>
                </c:pt>
                <c:pt idx="33">
                  <c:v>354.23</c:v>
                </c:pt>
                <c:pt idx="34">
                  <c:v>357</c:v>
                </c:pt>
                <c:pt idx="35">
                  <c:v>177.6</c:v>
                </c:pt>
                <c:pt idx="36">
                  <c:v>471.3</c:v>
                </c:pt>
                <c:pt idx="37">
                  <c:v>326.39999999999998</c:v>
                </c:pt>
                <c:pt idx="38">
                  <c:v>353.14</c:v>
                </c:pt>
                <c:pt idx="39">
                  <c:v>22.2</c:v>
                </c:pt>
                <c:pt idx="40">
                  <c:v>783.11</c:v>
                </c:pt>
                <c:pt idx="41">
                  <c:v>232.03</c:v>
                </c:pt>
                <c:pt idx="42">
                  <c:v>453.46</c:v>
                </c:pt>
                <c:pt idx="43">
                  <c:v>390.79</c:v>
                </c:pt>
                <c:pt idx="44">
                  <c:v>225.7</c:v>
                </c:pt>
                <c:pt idx="45">
                  <c:v>233.45</c:v>
                </c:pt>
                <c:pt idx="46">
                  <c:v>303.89999999999998</c:v>
                </c:pt>
                <c:pt idx="47">
                  <c:v>362.45</c:v>
                </c:pt>
                <c:pt idx="48">
                  <c:v>842.12</c:v>
                </c:pt>
                <c:pt idx="49">
                  <c:v>430.99</c:v>
                </c:pt>
                <c:pt idx="50">
                  <c:v>295.54000000000002</c:v>
                </c:pt>
                <c:pt idx="51">
                  <c:v>17.399999999999999</c:v>
                </c:pt>
                <c:pt idx="52">
                  <c:v>265.10000000000002</c:v>
                </c:pt>
                <c:pt idx="53">
                  <c:v>42.9</c:v>
                </c:pt>
                <c:pt idx="54">
                  <c:v>2474.7399999999998</c:v>
                </c:pt>
                <c:pt idx="55">
                  <c:v>163.34</c:v>
                </c:pt>
                <c:pt idx="56">
                  <c:v>223.9</c:v>
                </c:pt>
                <c:pt idx="57">
                  <c:v>95.29</c:v>
                </c:pt>
                <c:pt idx="58">
                  <c:v>155.52000000000001</c:v>
                </c:pt>
                <c:pt idx="59">
                  <c:v>295.5</c:v>
                </c:pt>
                <c:pt idx="60">
                  <c:v>313.49</c:v>
                </c:pt>
                <c:pt idx="61">
                  <c:v>4.95</c:v>
                </c:pt>
                <c:pt idx="62">
                  <c:v>188.56</c:v>
                </c:pt>
                <c:pt idx="63">
                  <c:v>203.3</c:v>
                </c:pt>
                <c:pt idx="64">
                  <c:v>70.8</c:v>
                </c:pt>
                <c:pt idx="65">
                  <c:v>136.24</c:v>
                </c:pt>
                <c:pt idx="66">
                  <c:v>301.24</c:v>
                </c:pt>
                <c:pt idx="67">
                  <c:v>243.48</c:v>
                </c:pt>
                <c:pt idx="68">
                  <c:v>274.93</c:v>
                </c:pt>
                <c:pt idx="69">
                  <c:v>161</c:v>
                </c:pt>
                <c:pt idx="70">
                  <c:v>200.5</c:v>
                </c:pt>
                <c:pt idx="71">
                  <c:v>939.59</c:v>
                </c:pt>
                <c:pt idx="72">
                  <c:v>1919.14</c:v>
                </c:pt>
                <c:pt idx="73">
                  <c:v>156.1</c:v>
                </c:pt>
                <c:pt idx="74">
                  <c:v>115.65</c:v>
                </c:pt>
                <c:pt idx="75">
                  <c:v>194.85</c:v>
                </c:pt>
                <c:pt idx="76">
                  <c:v>165.05</c:v>
                </c:pt>
                <c:pt idx="77">
                  <c:v>369.5</c:v>
                </c:pt>
                <c:pt idx="78">
                  <c:v>255</c:v>
                </c:pt>
                <c:pt idx="79">
                  <c:v>487.75</c:v>
                </c:pt>
                <c:pt idx="80">
                  <c:v>490.38</c:v>
                </c:pt>
                <c:pt idx="81">
                  <c:v>15</c:v>
                </c:pt>
                <c:pt idx="82">
                  <c:v>787.4</c:v>
                </c:pt>
                <c:pt idx="83">
                  <c:v>4951.37</c:v>
                </c:pt>
                <c:pt idx="84">
                  <c:v>134.11000000000001</c:v>
                </c:pt>
                <c:pt idx="85">
                  <c:v>2.97</c:v>
                </c:pt>
                <c:pt idx="86">
                  <c:v>101.55</c:v>
                </c:pt>
                <c:pt idx="87">
                  <c:v>532.42999999999995</c:v>
                </c:pt>
                <c:pt idx="88">
                  <c:v>99.75</c:v>
                </c:pt>
                <c:pt idx="89">
                  <c:v>204.95</c:v>
                </c:pt>
                <c:pt idx="90">
                  <c:v>799.4</c:v>
                </c:pt>
                <c:pt idx="91">
                  <c:v>322.39999999999998</c:v>
                </c:pt>
                <c:pt idx="92">
                  <c:v>308.64999999999998</c:v>
                </c:pt>
                <c:pt idx="93">
                  <c:v>172.54</c:v>
                </c:pt>
                <c:pt idx="94">
                  <c:v>51.4</c:v>
                </c:pt>
                <c:pt idx="95">
                  <c:v>6.7</c:v>
                </c:pt>
                <c:pt idx="96">
                  <c:v>116.25</c:v>
                </c:pt>
                <c:pt idx="97">
                  <c:v>251.4</c:v>
                </c:pt>
                <c:pt idx="98">
                  <c:v>5.04</c:v>
                </c:pt>
                <c:pt idx="99">
                  <c:v>331.55</c:v>
                </c:pt>
                <c:pt idx="100">
                  <c:v>304.33999999999997</c:v>
                </c:pt>
                <c:pt idx="101">
                  <c:v>294.62</c:v>
                </c:pt>
                <c:pt idx="102">
                  <c:v>442.35</c:v>
                </c:pt>
                <c:pt idx="103">
                  <c:v>143.12</c:v>
                </c:pt>
                <c:pt idx="104">
                  <c:v>17.850000000000001</c:v>
                </c:pt>
                <c:pt idx="105">
                  <c:v>1552.98</c:v>
                </c:pt>
                <c:pt idx="106">
                  <c:v>2558.42</c:v>
                </c:pt>
                <c:pt idx="107">
                  <c:v>497</c:v>
                </c:pt>
                <c:pt idx="108">
                  <c:v>279.60000000000002</c:v>
                </c:pt>
                <c:pt idx="109">
                  <c:v>315.95999999999998</c:v>
                </c:pt>
                <c:pt idx="110">
                  <c:v>97.2</c:v>
                </c:pt>
                <c:pt idx="111">
                  <c:v>330</c:v>
                </c:pt>
                <c:pt idx="112">
                  <c:v>304.04000000000002</c:v>
                </c:pt>
                <c:pt idx="113">
                  <c:v>198</c:v>
                </c:pt>
                <c:pt idx="114">
                  <c:v>1132.8</c:v>
                </c:pt>
                <c:pt idx="115">
                  <c:v>19.899999999999999</c:v>
                </c:pt>
                <c:pt idx="116">
                  <c:v>344.2</c:v>
                </c:pt>
                <c:pt idx="117">
                  <c:v>311.81</c:v>
                </c:pt>
                <c:pt idx="118">
                  <c:v>277.05</c:v>
                </c:pt>
                <c:pt idx="119">
                  <c:v>205.86</c:v>
                </c:pt>
                <c:pt idx="120">
                  <c:v>198.32</c:v>
                </c:pt>
                <c:pt idx="121">
                  <c:v>6308.16</c:v>
                </c:pt>
                <c:pt idx="122">
                  <c:v>81.75</c:v>
                </c:pt>
                <c:pt idx="123">
                  <c:v>79.5</c:v>
                </c:pt>
                <c:pt idx="124">
                  <c:v>349.15</c:v>
                </c:pt>
                <c:pt idx="125">
                  <c:v>38.090000000000003</c:v>
                </c:pt>
                <c:pt idx="126">
                  <c:v>102.79</c:v>
                </c:pt>
                <c:pt idx="127">
                  <c:v>160.6</c:v>
                </c:pt>
                <c:pt idx="128">
                  <c:v>306.39999999999998</c:v>
                </c:pt>
                <c:pt idx="129">
                  <c:v>251.62</c:v>
                </c:pt>
                <c:pt idx="130">
                  <c:v>22.2</c:v>
                </c:pt>
                <c:pt idx="131">
                  <c:v>163.76</c:v>
                </c:pt>
                <c:pt idx="132">
                  <c:v>22.2</c:v>
                </c:pt>
                <c:pt idx="133">
                  <c:v>184.5</c:v>
                </c:pt>
                <c:pt idx="134">
                  <c:v>272.64999999999998</c:v>
                </c:pt>
                <c:pt idx="135">
                  <c:v>303.97000000000003</c:v>
                </c:pt>
                <c:pt idx="136">
                  <c:v>38.1</c:v>
                </c:pt>
                <c:pt idx="137">
                  <c:v>244.46</c:v>
                </c:pt>
                <c:pt idx="138">
                  <c:v>22.2</c:v>
                </c:pt>
                <c:pt idx="139">
                  <c:v>259.64999999999998</c:v>
                </c:pt>
                <c:pt idx="140">
                  <c:v>206.76</c:v>
                </c:pt>
                <c:pt idx="141">
                  <c:v>208.97</c:v>
                </c:pt>
                <c:pt idx="142">
                  <c:v>22.2</c:v>
                </c:pt>
                <c:pt idx="143">
                  <c:v>286.92</c:v>
                </c:pt>
                <c:pt idx="144">
                  <c:v>244.08</c:v>
                </c:pt>
                <c:pt idx="145">
                  <c:v>1095.1199999999999</c:v>
                </c:pt>
                <c:pt idx="146">
                  <c:v>780.12</c:v>
                </c:pt>
                <c:pt idx="147">
                  <c:v>97.2</c:v>
                </c:pt>
                <c:pt idx="148">
                  <c:v>485.25</c:v>
                </c:pt>
                <c:pt idx="149">
                  <c:v>350.06</c:v>
                </c:pt>
                <c:pt idx="150">
                  <c:v>768.38</c:v>
                </c:pt>
                <c:pt idx="151">
                  <c:v>610.64</c:v>
                </c:pt>
                <c:pt idx="152">
                  <c:v>12.6</c:v>
                </c:pt>
                <c:pt idx="153">
                  <c:v>306.2</c:v>
                </c:pt>
                <c:pt idx="154">
                  <c:v>230.56</c:v>
                </c:pt>
                <c:pt idx="155">
                  <c:v>22.2</c:v>
                </c:pt>
                <c:pt idx="156">
                  <c:v>244.46</c:v>
                </c:pt>
                <c:pt idx="157">
                  <c:v>22.2</c:v>
                </c:pt>
                <c:pt idx="158">
                  <c:v>312.8</c:v>
                </c:pt>
                <c:pt idx="159">
                  <c:v>204.15</c:v>
                </c:pt>
                <c:pt idx="160">
                  <c:v>193.78</c:v>
                </c:pt>
                <c:pt idx="161">
                  <c:v>572.38</c:v>
                </c:pt>
                <c:pt idx="162">
                  <c:v>106.2</c:v>
                </c:pt>
                <c:pt idx="163">
                  <c:v>219.66</c:v>
                </c:pt>
                <c:pt idx="164">
                  <c:v>1056.6300000000001</c:v>
                </c:pt>
                <c:pt idx="165">
                  <c:v>288.5</c:v>
                </c:pt>
                <c:pt idx="166">
                  <c:v>45.85</c:v>
                </c:pt>
                <c:pt idx="167">
                  <c:v>4.25</c:v>
                </c:pt>
                <c:pt idx="168">
                  <c:v>223.7</c:v>
                </c:pt>
                <c:pt idx="169">
                  <c:v>299.39999999999998</c:v>
                </c:pt>
                <c:pt idx="170">
                  <c:v>362.5</c:v>
                </c:pt>
                <c:pt idx="171">
                  <c:v>58</c:v>
                </c:pt>
                <c:pt idx="172">
                  <c:v>136.19999999999999</c:v>
                </c:pt>
                <c:pt idx="173">
                  <c:v>127.2</c:v>
                </c:pt>
                <c:pt idx="174">
                  <c:v>339.84</c:v>
                </c:pt>
                <c:pt idx="175">
                  <c:v>127.08</c:v>
                </c:pt>
                <c:pt idx="176">
                  <c:v>207.5</c:v>
                </c:pt>
                <c:pt idx="177">
                  <c:v>113.92</c:v>
                </c:pt>
                <c:pt idx="178">
                  <c:v>380.46</c:v>
                </c:pt>
                <c:pt idx="179">
                  <c:v>22.2</c:v>
                </c:pt>
                <c:pt idx="180">
                  <c:v>331.26</c:v>
                </c:pt>
                <c:pt idx="181">
                  <c:v>22.2</c:v>
                </c:pt>
                <c:pt idx="182">
                  <c:v>326</c:v>
                </c:pt>
                <c:pt idx="183">
                  <c:v>199.65</c:v>
                </c:pt>
                <c:pt idx="184">
                  <c:v>354.54</c:v>
                </c:pt>
                <c:pt idx="185">
                  <c:v>329.65</c:v>
                </c:pt>
                <c:pt idx="186">
                  <c:v>211.2</c:v>
                </c:pt>
                <c:pt idx="187">
                  <c:v>824.88</c:v>
                </c:pt>
                <c:pt idx="188">
                  <c:v>98.18</c:v>
                </c:pt>
                <c:pt idx="189">
                  <c:v>201.75</c:v>
                </c:pt>
                <c:pt idx="190">
                  <c:v>92.75</c:v>
                </c:pt>
                <c:pt idx="191">
                  <c:v>202.12</c:v>
                </c:pt>
                <c:pt idx="192">
                  <c:v>196.43</c:v>
                </c:pt>
                <c:pt idx="193">
                  <c:v>261.76</c:v>
                </c:pt>
                <c:pt idx="194">
                  <c:v>379.75</c:v>
                </c:pt>
                <c:pt idx="195">
                  <c:v>341.9</c:v>
                </c:pt>
                <c:pt idx="196">
                  <c:v>248.1</c:v>
                </c:pt>
                <c:pt idx="197">
                  <c:v>100.2</c:v>
                </c:pt>
                <c:pt idx="198">
                  <c:v>116</c:v>
                </c:pt>
                <c:pt idx="199">
                  <c:v>321.79000000000002</c:v>
                </c:pt>
                <c:pt idx="200">
                  <c:v>434.8</c:v>
                </c:pt>
                <c:pt idx="201">
                  <c:v>22.2</c:v>
                </c:pt>
                <c:pt idx="202">
                  <c:v>390.66</c:v>
                </c:pt>
                <c:pt idx="203">
                  <c:v>22.2</c:v>
                </c:pt>
                <c:pt idx="204">
                  <c:v>210.24</c:v>
                </c:pt>
                <c:pt idx="205">
                  <c:v>54.25</c:v>
                </c:pt>
                <c:pt idx="206">
                  <c:v>66.650000000000006</c:v>
                </c:pt>
                <c:pt idx="207">
                  <c:v>311.25</c:v>
                </c:pt>
                <c:pt idx="208">
                  <c:v>98.9</c:v>
                </c:pt>
                <c:pt idx="209">
                  <c:v>307.68</c:v>
                </c:pt>
                <c:pt idx="210">
                  <c:v>452.52</c:v>
                </c:pt>
                <c:pt idx="211">
                  <c:v>668.4</c:v>
                </c:pt>
                <c:pt idx="212">
                  <c:v>118.38</c:v>
                </c:pt>
                <c:pt idx="213">
                  <c:v>138.1</c:v>
                </c:pt>
                <c:pt idx="214">
                  <c:v>193.23</c:v>
                </c:pt>
                <c:pt idx="215">
                  <c:v>12.8</c:v>
                </c:pt>
                <c:pt idx="216">
                  <c:v>50.4</c:v>
                </c:pt>
                <c:pt idx="217">
                  <c:v>517.95000000000005</c:v>
                </c:pt>
                <c:pt idx="218">
                  <c:v>4076.48</c:v>
                </c:pt>
                <c:pt idx="219">
                  <c:v>2170.9</c:v>
                </c:pt>
                <c:pt idx="220">
                  <c:v>2730.96</c:v>
                </c:pt>
                <c:pt idx="221">
                  <c:v>324</c:v>
                </c:pt>
                <c:pt idx="222">
                  <c:v>192.46</c:v>
                </c:pt>
                <c:pt idx="223">
                  <c:v>75</c:v>
                </c:pt>
                <c:pt idx="224">
                  <c:v>22.2</c:v>
                </c:pt>
                <c:pt idx="225">
                  <c:v>532.01</c:v>
                </c:pt>
                <c:pt idx="226">
                  <c:v>44.4</c:v>
                </c:pt>
                <c:pt idx="227">
                  <c:v>30</c:v>
                </c:pt>
                <c:pt idx="228">
                  <c:v>170.7</c:v>
                </c:pt>
                <c:pt idx="229">
                  <c:v>322.8</c:v>
                </c:pt>
                <c:pt idx="230">
                  <c:v>333.72</c:v>
                </c:pt>
                <c:pt idx="231">
                  <c:v>349.04</c:v>
                </c:pt>
                <c:pt idx="232">
                  <c:v>130.80000000000001</c:v>
                </c:pt>
                <c:pt idx="233">
                  <c:v>684.46</c:v>
                </c:pt>
                <c:pt idx="234">
                  <c:v>183.3</c:v>
                </c:pt>
                <c:pt idx="235">
                  <c:v>236.97</c:v>
                </c:pt>
                <c:pt idx="236">
                  <c:v>252.3</c:v>
                </c:pt>
                <c:pt idx="237">
                  <c:v>197.3</c:v>
                </c:pt>
                <c:pt idx="238">
                  <c:v>22.5</c:v>
                </c:pt>
                <c:pt idx="239">
                  <c:v>1714.25</c:v>
                </c:pt>
                <c:pt idx="240">
                  <c:v>406.56</c:v>
                </c:pt>
                <c:pt idx="241">
                  <c:v>45.12</c:v>
                </c:pt>
                <c:pt idx="242">
                  <c:v>247.8</c:v>
                </c:pt>
                <c:pt idx="243">
                  <c:v>1003.2</c:v>
                </c:pt>
                <c:pt idx="244">
                  <c:v>303.95999999999998</c:v>
                </c:pt>
                <c:pt idx="245">
                  <c:v>527.85</c:v>
                </c:pt>
                <c:pt idx="246">
                  <c:v>189.8</c:v>
                </c:pt>
                <c:pt idx="247">
                  <c:v>308.27999999999997</c:v>
                </c:pt>
                <c:pt idx="248">
                  <c:v>143.44999999999999</c:v>
                </c:pt>
                <c:pt idx="249">
                  <c:v>50.55</c:v>
                </c:pt>
                <c:pt idx="250">
                  <c:v>408</c:v>
                </c:pt>
                <c:pt idx="251">
                  <c:v>2002.4</c:v>
                </c:pt>
                <c:pt idx="252">
                  <c:v>569.4</c:v>
                </c:pt>
                <c:pt idx="253">
                  <c:v>164.8</c:v>
                </c:pt>
                <c:pt idx="254">
                  <c:v>438.1</c:v>
                </c:pt>
                <c:pt idx="255">
                  <c:v>35.4</c:v>
                </c:pt>
                <c:pt idx="256">
                  <c:v>295</c:v>
                </c:pt>
                <c:pt idx="257">
                  <c:v>263.3</c:v>
                </c:pt>
                <c:pt idx="258">
                  <c:v>308.68</c:v>
                </c:pt>
                <c:pt idx="259">
                  <c:v>37.200000000000003</c:v>
                </c:pt>
                <c:pt idx="260">
                  <c:v>623.73</c:v>
                </c:pt>
                <c:pt idx="261">
                  <c:v>137.35</c:v>
                </c:pt>
                <c:pt idx="262">
                  <c:v>393.42</c:v>
                </c:pt>
                <c:pt idx="263">
                  <c:v>263.62</c:v>
                </c:pt>
                <c:pt idx="264">
                  <c:v>34.9</c:v>
                </c:pt>
                <c:pt idx="265">
                  <c:v>189.3</c:v>
                </c:pt>
                <c:pt idx="266">
                  <c:v>127.55</c:v>
                </c:pt>
                <c:pt idx="267">
                  <c:v>402</c:v>
                </c:pt>
                <c:pt idx="268">
                  <c:v>215.58</c:v>
                </c:pt>
                <c:pt idx="269">
                  <c:v>534</c:v>
                </c:pt>
                <c:pt idx="270">
                  <c:v>397.5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07F7-4B7E-8BC7-C35F908D98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en-US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Invoice Value (£)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/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en-US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Items per Invoice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"/>
        <c:crosses val="autoZero"/>
        <c:crossBetween val="midCat"/>
      </c:valAx>
    </c:plotArea>
    <c:legend>
      <c:legendPos val="r"/>
      <c:overlay val="0"/>
      <c:txPr>
        <a:bodyPr rot="0" spcFirstLastPara="0" vertOverflow="ellipsis" vert="horz" wrap="square" anchor="ctr" anchorCtr="1"/>
        <a:lstStyle/>
        <a:p>
          <a:pPr>
            <a:defRPr lang="en-US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81f5ec28-3bea-42f9-8d17-d0c4db762d4b}"/>
      </c:ext>
    </c:extLst>
  </c:chart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en-US" sz="18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PH"/>
              <a:t>Hourly Revenue Trend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'[Checkpoint 2 - Spreadsheet &amp; Statistical Analysis.xlsx]Trend Analysis'!$B$4</c:f>
              <c:strCache>
                <c:ptCount val="1"/>
                <c:pt idx="0">
                  <c:v>Revenue (£)</c:v>
                </c:pt>
              </c:strCache>
            </c:strRef>
          </c:tx>
          <c:spPr>
            <a:ln w="28575" cap="rnd" cmpd="sng" algn="ctr">
              <a:solidFill>
                <a:schemeClr val="accent1">
                  <a:shade val="95000"/>
                  <a:satMod val="105000"/>
                </a:schemeClr>
              </a:solidFill>
              <a:prstDash val="solid"/>
              <a:round/>
            </a:ln>
          </c:spPr>
          <c:marker>
            <c:symbol val="none"/>
          </c:marker>
          <c:cat>
            <c:strRef>
              <c:f>'[Checkpoint 2 - Spreadsheet &amp; Statistical Analysis.xlsx]Trend Analysis'!$A$5:$A$28</c:f>
              <c:strCache>
                <c:ptCount val="24"/>
                <c:pt idx="0">
                  <c:v>2010-12-01 08:00</c:v>
                </c:pt>
                <c:pt idx="1">
                  <c:v>2010-12-01 09:00</c:v>
                </c:pt>
                <c:pt idx="2">
                  <c:v>2010-12-01 10:00</c:v>
                </c:pt>
                <c:pt idx="3">
                  <c:v>2010-12-01 11:00</c:v>
                </c:pt>
                <c:pt idx="4">
                  <c:v>2010-12-01 12:00</c:v>
                </c:pt>
                <c:pt idx="5">
                  <c:v>2010-12-01 13:00</c:v>
                </c:pt>
                <c:pt idx="6">
                  <c:v>2010-12-01 14:00</c:v>
                </c:pt>
                <c:pt idx="7">
                  <c:v>2010-12-01 15:00</c:v>
                </c:pt>
                <c:pt idx="8">
                  <c:v>2010-12-01 16:00</c:v>
                </c:pt>
                <c:pt idx="9">
                  <c:v>2010-12-01 17:00</c:v>
                </c:pt>
                <c:pt idx="10">
                  <c:v>2010-12-02 07:00</c:v>
                </c:pt>
                <c:pt idx="11">
                  <c:v>2010-12-02 08:00</c:v>
                </c:pt>
                <c:pt idx="12">
                  <c:v>2010-12-02 09:00</c:v>
                </c:pt>
                <c:pt idx="13">
                  <c:v>2010-12-02 10:00</c:v>
                </c:pt>
                <c:pt idx="14">
                  <c:v>2010-12-02 11:00</c:v>
                </c:pt>
                <c:pt idx="15">
                  <c:v>2010-12-02 12:00</c:v>
                </c:pt>
                <c:pt idx="16">
                  <c:v>2010-12-02 13:00</c:v>
                </c:pt>
                <c:pt idx="17">
                  <c:v>2010-12-02 14:00</c:v>
                </c:pt>
                <c:pt idx="18">
                  <c:v>2010-12-02 15:00</c:v>
                </c:pt>
                <c:pt idx="19">
                  <c:v>2010-12-02 16:00</c:v>
                </c:pt>
                <c:pt idx="20">
                  <c:v>2010-12-02 17:00</c:v>
                </c:pt>
                <c:pt idx="21">
                  <c:v>2010-12-02 18:00</c:v>
                </c:pt>
                <c:pt idx="22">
                  <c:v>2010-12-02 19:00</c:v>
                </c:pt>
                <c:pt idx="23">
                  <c:v>2010-12-03 09:00</c:v>
                </c:pt>
              </c:strCache>
            </c:strRef>
          </c:cat>
          <c:val>
            <c:numRef>
              <c:f>'[Checkpoint 2 - Spreadsheet &amp; Statistical Analysis.xlsx]Trend Analysis'!$B$5:$B$28</c:f>
              <c:numCache>
                <c:formatCode>General</c:formatCode>
                <c:ptCount val="24"/>
                <c:pt idx="0">
                  <c:v>1329.81</c:v>
                </c:pt>
                <c:pt idx="1">
                  <c:v>7356.39</c:v>
                </c:pt>
                <c:pt idx="2">
                  <c:v>5235.8100000000004</c:v>
                </c:pt>
                <c:pt idx="3">
                  <c:v>4146.96</c:v>
                </c:pt>
                <c:pt idx="4">
                  <c:v>7420.72</c:v>
                </c:pt>
                <c:pt idx="5">
                  <c:v>4994.79</c:v>
                </c:pt>
                <c:pt idx="6">
                  <c:v>7807.66</c:v>
                </c:pt>
                <c:pt idx="7">
                  <c:v>3567.61</c:v>
                </c:pt>
                <c:pt idx="8">
                  <c:v>8623.14</c:v>
                </c:pt>
                <c:pt idx="9">
                  <c:v>6959.44</c:v>
                </c:pt>
                <c:pt idx="10">
                  <c:v>467</c:v>
                </c:pt>
                <c:pt idx="11">
                  <c:v>916.93</c:v>
                </c:pt>
                <c:pt idx="12">
                  <c:v>1306.31</c:v>
                </c:pt>
                <c:pt idx="13">
                  <c:v>5555.99</c:v>
                </c:pt>
                <c:pt idx="14">
                  <c:v>3227.9</c:v>
                </c:pt>
                <c:pt idx="15">
                  <c:v>4773.68</c:v>
                </c:pt>
                <c:pt idx="16">
                  <c:v>2560.73</c:v>
                </c:pt>
                <c:pt idx="17">
                  <c:v>3158.13</c:v>
                </c:pt>
                <c:pt idx="18">
                  <c:v>13102.41</c:v>
                </c:pt>
                <c:pt idx="19">
                  <c:v>5330.91</c:v>
                </c:pt>
                <c:pt idx="20">
                  <c:v>4120.38</c:v>
                </c:pt>
                <c:pt idx="21">
                  <c:v>2546.5</c:v>
                </c:pt>
                <c:pt idx="22">
                  <c:v>529.54999999999995</c:v>
                </c:pt>
                <c:pt idx="23">
                  <c:v>1147.08</c:v>
                </c:pt>
              </c:numCache>
            </c:numRef>
          </c:val>
          <c:smooth val="1"/>
          <c:extLst>
            <c:ext xmlns:c16="http://schemas.microsoft.com/office/drawing/2014/chart" uri="{C3380CC4-5D6E-409C-BE32-E72D297353CC}">
              <c16:uniqueId val="{00000000-4992-422C-A196-3EE4D8CFE6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"/>
        <c:axId val="100"/>
      </c:line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en-US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Hour Bucket</a:t>
                </a:r>
              </a:p>
            </c:rich>
          </c:tx>
          <c:overlay val="0"/>
        </c:title>
        <c:numFmt formatCode="General" sourceLinked="0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1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en-US"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PH"/>
                  <a:t>Revenue (£)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</c:plotArea>
    <c:legend>
      <c:legendPos val="r"/>
      <c:overlay val="0"/>
      <c:txPr>
        <a:bodyPr rot="0" spcFirstLastPara="0" vertOverflow="ellipsis" vert="horz" wrap="square" anchor="ctr" anchorCtr="1"/>
        <a:lstStyle/>
        <a:p>
          <a:pPr>
            <a:defRPr lang="en-US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8f092e78-1714-4f14-a510-92c283db0932}"/>
      </c:ext>
    </c:extLst>
  </c:chart>
  <c:txPr>
    <a:bodyPr/>
    <a:lstStyle/>
    <a:p>
      <a:pPr>
        <a:defRPr lang="en-US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1266</Words>
  <Characters>7221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Rudelyn Joy Abanador</cp:lastModifiedBy>
  <cp:revision>25</cp:revision>
  <dcterms:created xsi:type="dcterms:W3CDTF">2013-12-23T23:15:00Z</dcterms:created>
  <dcterms:modified xsi:type="dcterms:W3CDTF">2026-08-21T12:08:00Z</dcterms:modified>
  <cp:category/>
</cp:coreProperties>
</file>