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sz w:val="28"/>
        </w:rPr>
        <w:t>TALIBON POLYTECHNIC COLLEGE</w:t>
      </w:r>
    </w:p>
    <w:p>
      <w:pPr>
        <w:spacing w:after="40"/>
        <w:jc w:val="center"/>
      </w:pPr>
      <w:r>
        <w:rPr>
          <w:b/>
          <w:i w:val="0"/>
          <w:sz w:val="26"/>
        </w:rPr>
        <w:t>BED 106 — BUSINESS ANALYTICS</w:t>
      </w:r>
    </w:p>
    <w:p>
      <w:pPr>
        <w:spacing w:after="600"/>
        <w:jc w:val="center"/>
      </w:pPr>
      <w:r>
        <w:rPr>
          <w:b w:val="0"/>
          <w:i w:val="0"/>
          <w:sz w:val="24"/>
        </w:rPr>
        <w:t>Mini Business Analytics Capstone Project — Checkpoint 4 (Final)</w:t>
      </w:r>
    </w:p>
    <w:p>
      <w:pPr>
        <w:spacing w:after="0"/>
        <w:jc w:val="center"/>
      </w:pPr>
      <w:r>
        <w:rPr>
          <w:b/>
          <w:i w:val="0"/>
          <w:sz w:val="44"/>
        </w:rPr>
        <w:t>LIBRARY ANALYTICS:</w:t>
      </w:r>
    </w:p>
    <w:p>
      <w:pPr>
        <w:spacing w:after="200"/>
        <w:jc w:val="center"/>
      </w:pPr>
      <w:r>
        <w:rPr>
          <w:b/>
          <w:i w:val="0"/>
          <w:sz w:val="36"/>
        </w:rPr>
        <w:t>Book Borrowing Trends and Student Reading Behavior</w:t>
      </w:r>
    </w:p>
    <w:p>
      <w:pPr>
        <w:spacing w:after="480"/>
        <w:jc w:val="center"/>
      </w:pPr>
      <w:r>
        <w:rPr>
          <w:b w:val="0"/>
          <w:i/>
          <w:sz w:val="26"/>
        </w:rPr>
        <w:t>Final Integrated Capstone Report</w:t>
      </w:r>
    </w:p>
    <w:p>
      <w:pPr>
        <w:spacing w:after="80"/>
        <w:jc w:val="center"/>
      </w:pPr>
      <w:r>
        <w:rPr>
          <w:b/>
          <w:i w:val="0"/>
        </w:rPr>
        <w:t>Group 1 — The Data Bookworms</w:t>
      </w:r>
    </w:p>
    <w:p>
      <w:pPr>
        <w:pStyle w:val="Caption"/>
        <w:keepNext/>
      </w:pPr>
      <w:r>
        <w:t>Table 1. Team members and roles</w:t>
      </w:r>
    </w:p>
    <w:tbl>
      <w:tblPr>
        <w:tblStyle w:val="TableGrid"/>
        <w:tblW w:type="auto" w:w="0"/>
        <w:jc w:val="center"/>
        <w:tblLayout w:type="fixed"/>
        <w:tblLook w:firstColumn="1" w:firstRow="1" w:lastColumn="0" w:lastRow="0" w:noHBand="0" w:noVBand="1" w:val="04A0"/>
      </w:tblPr>
      <w:tblGrid>
        <w:gridCol w:w="3744"/>
        <w:gridCol w:w="5616"/>
      </w:tblGrid>
      <w:tr>
        <w:trPr>
          <w:tblHeader w:val="true"/>
          <w:cantSplit/>
        </w:trPr>
        <w:tc>
          <w:tcPr>
            <w:tcW w:type="dxa" w:w="3744"/>
            <w:shd w:val="clear" w:color="auto" w:fill="1F4E79"/>
          </w:tcPr>
          <w:p>
            <w:pPr>
              <w:spacing w:line="240" w:lineRule="auto" w:after="40"/>
            </w:pPr>
            <w:r/>
            <w:r>
              <w:rPr>
                <w:b/>
                <w:color w:val="FFFFFF"/>
                <w:sz w:val="22"/>
              </w:rPr>
              <w:t>Member</w:t>
            </w:r>
          </w:p>
        </w:tc>
        <w:tc>
          <w:tcPr>
            <w:tcW w:type="dxa" w:w="5616"/>
            <w:shd w:val="clear" w:color="auto" w:fill="1F4E79"/>
          </w:tcPr>
          <w:p>
            <w:pPr>
              <w:spacing w:line="240" w:lineRule="auto" w:after="40"/>
            </w:pPr>
            <w:r/>
            <w:r>
              <w:rPr>
                <w:b/>
                <w:color w:val="FFFFFF"/>
                <w:sz w:val="22"/>
              </w:rPr>
              <w:t>Role</w:t>
            </w:r>
          </w:p>
        </w:tc>
      </w:tr>
      <w:tr>
        <w:trPr>
          <w:cantSplit/>
        </w:trPr>
        <w:tc>
          <w:tcPr>
            <w:tcW w:type="dxa" w:w="3744"/>
          </w:tcPr>
          <w:p>
            <w:pPr>
              <w:spacing w:line="240" w:lineRule="auto" w:after="40"/>
            </w:pPr>
            <w:r/>
            <w:r>
              <w:rPr>
                <w:sz w:val="22"/>
              </w:rPr>
              <w:t>Peter Paul Polestico</w:t>
            </w:r>
          </w:p>
        </w:tc>
        <w:tc>
          <w:tcPr>
            <w:tcW w:type="dxa" w:w="5616"/>
          </w:tcPr>
          <w:p>
            <w:pPr>
              <w:spacing w:line="240" w:lineRule="auto" w:after="40"/>
            </w:pPr>
            <w:r/>
            <w:r>
              <w:rPr>
                <w:sz w:val="22"/>
              </w:rPr>
              <w:t>Project Lead / Analyst</w:t>
            </w:r>
          </w:p>
        </w:tc>
      </w:tr>
      <w:tr>
        <w:trPr>
          <w:cantSplit/>
        </w:trPr>
        <w:tc>
          <w:tcPr>
            <w:tcW w:type="dxa" w:w="3744"/>
          </w:tcPr>
          <w:p>
            <w:pPr>
              <w:spacing w:line="240" w:lineRule="auto" w:after="40"/>
            </w:pPr>
            <w:r/>
            <w:r>
              <w:rPr>
                <w:sz w:val="22"/>
              </w:rPr>
              <w:t>Ken T. Lubrico</w:t>
            </w:r>
          </w:p>
        </w:tc>
        <w:tc>
          <w:tcPr>
            <w:tcW w:type="dxa" w:w="5616"/>
          </w:tcPr>
          <w:p>
            <w:pPr>
              <w:spacing w:line="240" w:lineRule="auto" w:after="40"/>
            </w:pPr>
            <w:r/>
            <w:r>
              <w:rPr>
                <w:sz w:val="22"/>
              </w:rPr>
              <w:t>Data Engineer</w:t>
            </w:r>
          </w:p>
        </w:tc>
      </w:tr>
      <w:tr>
        <w:trPr>
          <w:cantSplit/>
        </w:trPr>
        <w:tc>
          <w:tcPr>
            <w:tcW w:type="dxa" w:w="3744"/>
          </w:tcPr>
          <w:p>
            <w:pPr>
              <w:spacing w:line="240" w:lineRule="auto" w:after="40"/>
            </w:pPr>
            <w:r/>
            <w:r>
              <w:rPr>
                <w:sz w:val="22"/>
              </w:rPr>
              <w:t>Johnro Balingit</w:t>
            </w:r>
          </w:p>
        </w:tc>
        <w:tc>
          <w:tcPr>
            <w:tcW w:type="dxa" w:w="5616"/>
          </w:tcPr>
          <w:p>
            <w:pPr>
              <w:spacing w:line="240" w:lineRule="auto" w:after="40"/>
            </w:pPr>
            <w:r/>
            <w:r>
              <w:rPr>
                <w:sz w:val="22"/>
              </w:rPr>
              <w:t>Statistician / Modeler and BI Developer / Visualizer</w:t>
            </w:r>
          </w:p>
        </w:tc>
      </w:tr>
    </w:tbl>
    <w:p>
      <w:pPr>
        <w:spacing w:after="40"/>
      </w:pPr>
    </w:p>
    <w:p>
      <w:pPr>
        <w:spacing w:after="0"/>
        <w:jc w:val="center"/>
      </w:pPr>
      <w:r>
        <w:rPr>
          <w:b w:val="0"/>
          <w:i w:val="0"/>
          <w:sz w:val="22"/>
        </w:rPr>
        <w:t>Course: BED 106 — Business Analytics (3 Units)</w:t>
      </w:r>
    </w:p>
    <w:p>
      <w:pPr>
        <w:spacing w:after="0"/>
        <w:jc w:val="center"/>
      </w:pPr>
      <w:r>
        <w:rPr>
          <w:b w:val="0"/>
          <w:i w:val="0"/>
          <w:sz w:val="22"/>
        </w:rPr>
        <w:t>Instructor: Jessie A. Melendres</w:t>
      </w:r>
    </w:p>
    <w:p>
      <w:pPr>
        <w:spacing w:after="0"/>
        <w:jc w:val="center"/>
      </w:pPr>
      <w:r>
        <w:rPr>
          <w:b w:val="0"/>
          <w:i w:val="0"/>
          <w:sz w:val="22"/>
        </w:rPr>
        <w:t>Academic Year 2026–2027, 1st Semester</w:t>
      </w:r>
    </w:p>
    <w:p>
      <w:pPr>
        <w:spacing w:after="0"/>
        <w:jc w:val="center"/>
      </w:pPr>
      <w:r>
        <w:rPr>
          <w:b w:val="0"/>
          <w:i w:val="0"/>
          <w:sz w:val="22"/>
        </w:rPr>
        <w:t>Date Submitted: October 22, 2026</w:t>
      </w:r>
    </w:p>
    <w:p>
      <w:r>
        <w:br w:type="page"/>
      </w:r>
    </w:p>
    <w:p>
      <w:pPr>
        <w:pStyle w:val="Heading1"/>
      </w:pPr>
      <w:r>
        <w:t>Table of Contents</w:t>
      </w:r>
    </w:p>
    <w:p>
      <w:pPr>
        <w:spacing w:after="0"/>
      </w:pPr>
      <w:r>
        <w:rPr>
          <w:b w:val="0"/>
          <w:i w:val="0"/>
        </w:rPr>
        <w:t>1.  Title Page</w:t>
      </w:r>
    </w:p>
    <w:p>
      <w:pPr>
        <w:spacing w:after="0"/>
      </w:pPr>
      <w:r>
        <w:rPr>
          <w:b w:val="0"/>
          <w:i w:val="0"/>
        </w:rPr>
        <w:t>2.  Executive Summary</w:t>
      </w:r>
    </w:p>
    <w:p>
      <w:pPr>
        <w:spacing w:after="0"/>
      </w:pPr>
      <w:r>
        <w:rPr>
          <w:b w:val="0"/>
          <w:i w:val="0"/>
        </w:rPr>
        <w:t>3.  Business Problem and Data Source</w:t>
      </w:r>
    </w:p>
    <w:p>
      <w:pPr>
        <w:spacing w:after="0"/>
      </w:pPr>
      <w:r>
        <w:rPr>
          <w:b w:val="0"/>
          <w:i w:val="0"/>
        </w:rPr>
        <w:t>4.  Database Design and SQL Analysis</w:t>
      </w:r>
    </w:p>
    <w:p>
      <w:pPr>
        <w:spacing w:after="0"/>
      </w:pPr>
      <w:r>
        <w:rPr>
          <w:b w:val="0"/>
          <w:i w:val="0"/>
        </w:rPr>
        <w:t>5.  Statistical Analysis</w:t>
      </w:r>
    </w:p>
    <w:p>
      <w:pPr>
        <w:spacing w:after="0"/>
      </w:pPr>
      <w:r>
        <w:rPr>
          <w:b w:val="0"/>
          <w:i w:val="0"/>
        </w:rPr>
        <w:t>6.  BI Dashboard Summary</w:t>
      </w:r>
    </w:p>
    <w:p>
      <w:pPr>
        <w:spacing w:after="0"/>
      </w:pPr>
      <w:r>
        <w:rPr>
          <w:b w:val="0"/>
          <w:i w:val="0"/>
        </w:rPr>
        <w:t>7.  Predictive Analytics</w:t>
      </w:r>
    </w:p>
    <w:p>
      <w:pPr>
        <w:spacing w:after="0"/>
      </w:pPr>
      <w:r>
        <w:rPr>
          <w:b w:val="0"/>
          <w:i w:val="0"/>
        </w:rPr>
        <w:t>8.  Ethics and Governance</w:t>
      </w:r>
    </w:p>
    <w:p>
      <w:pPr>
        <w:spacing w:after="0"/>
      </w:pPr>
      <w:r>
        <w:rPr>
          <w:b w:val="0"/>
          <w:i w:val="0"/>
        </w:rPr>
        <w:t>9.  Conclusions and Recommendations</w:t>
      </w:r>
    </w:p>
    <w:p>
      <w:pPr>
        <w:spacing w:after="0"/>
      </w:pPr>
      <w:r>
        <w:rPr>
          <w:b w:val="0"/>
          <w:i w:val="0"/>
        </w:rPr>
        <w:t>10.  References</w:t>
      </w:r>
    </w:p>
    <w:p>
      <w:pPr>
        <w:spacing w:after="0"/>
      </w:pPr>
      <w:r>
        <w:rPr>
          <w:b w:val="0"/>
          <w:i w:val="0"/>
        </w:rPr>
        <w:t>11.  Appendix</w:t>
      </w:r>
    </w:p>
    <w:p>
      <w:r>
        <w:br w:type="page"/>
      </w:r>
    </w:p>
    <w:p>
      <w:pPr>
        <w:pStyle w:val="Heading1"/>
      </w:pPr>
      <w:r>
        <w:t>2. Executive Summary</w:t>
      </w:r>
    </w:p>
    <w:p>
      <w:pPr>
        <w:jc w:val="both"/>
      </w:pPr>
      <w:r>
        <w:rPr>
          <w:b/>
          <w:i w:val="0"/>
        </w:rPr>
        <w:t>Problem.</w:t>
      </w:r>
      <w:r>
        <w:rPr>
          <w:b w:val="0"/>
          <w:i w:val="0"/>
        </w:rPr>
        <w:t xml:space="preserve"> The academic library has no data-driven view of who uses its collection, which books earn real engagement, and whether recommendations serve new (“cold-start”) patrons as well as established ones. We analyzed 12,000 patron–book interaction events (Academic Digital Library Book Recommendation Dataset, Kaggle) to answer three questions: which patron types and departments borrow irregularly, which categories and formats drive engagement, and whether cold-start patrons are underserved.</w:t>
      </w:r>
    </w:p>
    <w:p>
      <w:pPr>
        <w:jc w:val="both"/>
      </w:pPr>
      <w:r>
        <w:rPr>
          <w:b/>
          <w:i w:val="0"/>
        </w:rPr>
        <w:t>Methods.</w:t>
      </w:r>
      <w:r>
        <w:rPr>
          <w:b w:val="0"/>
          <w:i w:val="0"/>
        </w:rPr>
        <w:t xml:space="preserve"> SQL (CP1), Excel statistics and regression (CP2), Power BI dashboard with K-Means segmentation (CP3), and multiple and logistic regression with an ethics review (CP4).</w:t>
      </w:r>
    </w:p>
    <w:p>
      <w:pPr>
        <w:spacing w:after="40"/>
      </w:pPr>
      <w:r>
        <w:rPr>
          <w:b/>
          <w:i w:val="0"/>
        </w:rPr>
        <w:t>Key findings.</w:t>
      </w:r>
    </w:p>
    <w:p>
      <w:pPr>
        <w:pStyle w:val="ListBullet"/>
        <w:spacing w:line="360" w:lineRule="auto"/>
      </w:pPr>
      <w:r>
        <w:rPr>
          <w:b/>
        </w:rPr>
        <w:t>New patrons get weaker recommendations.</w:t>
      </w:r>
      <w:r>
        <w:rPr>
          <w:b w:val="0"/>
        </w:rPr>
        <w:t xml:space="preserve"> Cold-start patrons (18.5% of events) search and read as much as others, yet score 0.478 versus 0.574.</w:t>
      </w:r>
    </w:p>
    <w:p>
      <w:pPr>
        <w:pStyle w:val="ListBullet"/>
        <w:spacing w:line="360" w:lineRule="auto"/>
      </w:pPr>
      <w:r>
        <w:rPr>
          <w:b/>
        </w:rPr>
        <w:t>The cause is thin borrowing history, not the label.</w:t>
      </w:r>
      <w:r>
        <w:rPr>
          <w:b w:val="0"/>
        </w:rPr>
        <w:t xml:space="preserve"> In the multiple regression (R² = 0.91 on unseen data), borrowing frequency is the top predictor and the cold-start flag adds nothing (p = 0.81).</w:t>
      </w:r>
    </w:p>
    <w:p>
      <w:pPr>
        <w:pStyle w:val="ListBullet"/>
        <w:spacing w:line="360" w:lineRule="auto"/>
      </w:pPr>
      <w:r>
        <w:rPr>
          <w:b/>
        </w:rPr>
        <w:t>Irregular borrowing is library-wide.</w:t>
      </w:r>
      <w:r>
        <w:rPr>
          <w:b w:val="0"/>
        </w:rPr>
        <w:t xml:space="preserve"> About 16.1% of events are flagged; Medicine (17.1%) is highest, but department differences are not statistically significant (p = 0.81).</w:t>
      </w:r>
    </w:p>
    <w:p>
      <w:pPr>
        <w:pStyle w:val="ListBullet"/>
        <w:spacing w:line="360" w:lineRule="auto"/>
      </w:pPr>
      <w:r>
        <w:rPr>
          <w:b/>
        </w:rPr>
        <w:t>Four patron segments</w:t>
      </w:r>
      <w:r>
        <w:rPr>
          <w:b w:val="0"/>
        </w:rPr>
        <w:t xml:space="preserve"> emerged; Casual / At-Risk Patrons score lowest (0.478).</w:t>
      </w:r>
    </w:p>
    <w:p>
      <w:pPr>
        <w:jc w:val="both"/>
      </w:pPr>
      <w:r>
        <w:rPr>
          <w:b/>
          <w:i w:val="0"/>
        </w:rPr>
        <w:t>Recommendations.</w:t>
      </w:r>
      <w:r>
        <w:rPr>
          <w:b w:val="0"/>
          <w:i w:val="0"/>
        </w:rPr>
        <w:t xml:space="preserve"> Build a fast-start onboarding path for new patrons; send segment-specific nudges; run irregular-borrowing reminders library-wide; improve book metadata and patron interest profiles; and use the classifier (94.6% accuracy) as an early-warning list.</w:t>
      </w:r>
    </w:p>
    <w:p>
      <w:pPr>
        <w:jc w:val="both"/>
      </w:pPr>
      <w:r>
        <w:rPr>
          <w:b/>
          <w:i w:val="0"/>
        </w:rPr>
        <w:t>Caveat.</w:t>
      </w:r>
      <w:r>
        <w:rPr>
          <w:b w:val="0"/>
          <w:i w:val="0"/>
        </w:rPr>
        <w:t xml:space="preserve"> The data are synthetic and the recommendation score is itself an algorithm's output, so results describe how this system behaves in the data and should be validated on real circulation records.</w:t>
      </w:r>
    </w:p>
    <w:p>
      <w:r>
        <w:br w:type="page"/>
      </w:r>
    </w:p>
    <w:p>
      <w:pPr>
        <w:pStyle w:val="Heading1"/>
      </w:pPr>
      <w:r>
        <w:t>3. Business Problem and Data Source</w:t>
      </w:r>
    </w:p>
    <w:p>
      <w:pPr>
        <w:pStyle w:val="Heading2"/>
      </w:pPr>
      <w:r>
        <w:t>3.1 Business Domain and Problem</w:t>
      </w:r>
    </w:p>
    <w:p>
      <w:pPr>
        <w:jc w:val="both"/>
      </w:pPr>
      <w:r>
        <w:rPr>
          <w:b/>
          <w:i w:val="0"/>
        </w:rPr>
        <w:t>Domain:</w:t>
      </w:r>
      <w:r>
        <w:rPr>
          <w:b w:val="0"/>
          <w:i w:val="0"/>
        </w:rPr>
        <w:t xml:space="preserve"> Education Analytics — Academic Digital Library Services. </w:t>
      </w:r>
      <w:r>
        <w:rPr>
          <w:b/>
          <w:i w:val="0"/>
        </w:rPr>
        <w:t>Problem:</w:t>
      </w:r>
      <w:r>
        <w:rPr>
          <w:b w:val="0"/>
          <w:i w:val="0"/>
        </w:rPr>
        <w:t xml:space="preserve"> the library cannot currently see how undergraduates, postgraduates, faculty and research scholars actually borrow and engage with its collection, which categories and formats earn real engagement, or whether the discovery and recommendation experience works as well for new patrons as for established ones. Acquisition budgets and recommendation features only pay off when they match real behavior, so the library needs evidence to decide where to invest in onboarding, outreach and collection development.</w:t>
      </w:r>
    </w:p>
    <w:p>
      <w:pPr>
        <w:pStyle w:val="Heading2"/>
      </w:pPr>
      <w:r>
        <w:t>3.2 Key Business Questions</w:t>
      </w:r>
    </w:p>
    <w:p>
      <w:pPr>
        <w:pStyle w:val="ListBullet"/>
        <w:spacing w:line="360" w:lineRule="auto"/>
      </w:pPr>
      <w:r>
        <w:rPr>
          <w:b/>
        </w:rPr>
        <w:t>BQ1.</w:t>
      </w:r>
      <w:r>
        <w:rPr>
          <w:b w:val="0"/>
        </w:rPr>
        <w:t xml:space="preserve"> Which patron types and departments show the highest rate of irregular borrowing and could benefit from targeted outreach?</w:t>
      </w:r>
    </w:p>
    <w:p>
      <w:pPr>
        <w:pStyle w:val="ListBullet"/>
        <w:spacing w:line="360" w:lineRule="auto"/>
      </w:pPr>
      <w:r>
        <w:rPr>
          <w:b/>
        </w:rPr>
        <w:t>BQ2.</w:t>
      </w:r>
      <w:r>
        <w:rPr>
          <w:b w:val="0"/>
        </w:rPr>
        <w:t xml:space="preserve"> Which book categories and formats generate the most real engagement, and does it differ by patron type?</w:t>
      </w:r>
    </w:p>
    <w:p>
      <w:pPr>
        <w:pStyle w:val="ListBullet"/>
        <w:spacing w:line="360" w:lineRule="auto"/>
      </w:pPr>
      <w:r>
        <w:rPr>
          <w:b/>
        </w:rPr>
        <w:t>BQ3.</w:t>
      </w:r>
      <w:r>
        <w:rPr>
          <w:b w:val="0"/>
        </w:rPr>
        <w:t xml:space="preserve"> Are cold-start patrons underserved by the recommendation experience despite putting in similar effort?</w:t>
      </w:r>
    </w:p>
    <w:p>
      <w:pPr>
        <w:pStyle w:val="Heading2"/>
      </w:pPr>
      <w:r>
        <w:t>3.3 Data Source</w:t>
      </w:r>
    </w:p>
    <w:p>
      <w:pPr>
        <w:pStyle w:val="Caption"/>
        <w:keepNext/>
      </w:pPr>
      <w:r>
        <w:t>Table 2. Data source report</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trPr>
        <w:tc>
          <w:tcPr>
            <w:tcW w:type="dxa" w:w="2304"/>
            <w:shd w:val="clear" w:color="auto" w:fill="1F4E79"/>
          </w:tcPr>
          <w:p>
            <w:pPr>
              <w:spacing w:line="240" w:lineRule="auto" w:after="40"/>
            </w:pPr>
            <w:r/>
            <w:r>
              <w:rPr>
                <w:b/>
                <w:color w:val="FFFFFF"/>
                <w:sz w:val="19"/>
              </w:rPr>
              <w:t>Attribute</w:t>
            </w:r>
          </w:p>
        </w:tc>
        <w:tc>
          <w:tcPr>
            <w:tcW w:type="dxa" w:w="7056"/>
            <w:shd w:val="clear" w:color="auto" w:fill="1F4E79"/>
          </w:tcPr>
          <w:p>
            <w:pPr>
              <w:spacing w:line="240" w:lineRule="auto" w:after="40"/>
            </w:pPr>
            <w:r/>
            <w:r>
              <w:rPr>
                <w:b/>
                <w:color w:val="FFFFFF"/>
                <w:sz w:val="19"/>
              </w:rPr>
              <w:t>Details</w:t>
            </w:r>
          </w:p>
        </w:tc>
      </w:tr>
      <w:tr>
        <w:trPr>
          <w:cantSplit/>
        </w:trPr>
        <w:tc>
          <w:tcPr>
            <w:tcW w:type="dxa" w:w="2304"/>
          </w:tcPr>
          <w:p>
            <w:pPr>
              <w:spacing w:line="240" w:lineRule="auto" w:after="40"/>
            </w:pPr>
            <w:r/>
            <w:r>
              <w:rPr>
                <w:sz w:val="19"/>
              </w:rPr>
              <w:t>Dataset</w:t>
            </w:r>
          </w:p>
        </w:tc>
        <w:tc>
          <w:tcPr>
            <w:tcW w:type="dxa" w:w="7056"/>
          </w:tcPr>
          <w:p>
            <w:pPr>
              <w:spacing w:line="240" w:lineRule="auto" w:after="40"/>
            </w:pPr>
            <w:r/>
            <w:r>
              <w:rPr>
                <w:sz w:val="19"/>
              </w:rPr>
              <w:t>Academic Digital Library Book Recommendation Dataset</w:t>
            </w:r>
          </w:p>
        </w:tc>
      </w:tr>
      <w:tr>
        <w:trPr>
          <w:cantSplit/>
        </w:trPr>
        <w:tc>
          <w:tcPr>
            <w:tcW w:type="dxa" w:w="2304"/>
          </w:tcPr>
          <w:p>
            <w:pPr>
              <w:spacing w:line="240" w:lineRule="auto" w:after="40"/>
            </w:pPr>
            <w:r/>
            <w:r>
              <w:rPr>
                <w:sz w:val="19"/>
              </w:rPr>
              <w:t>Source</w:t>
            </w:r>
          </w:p>
        </w:tc>
        <w:tc>
          <w:tcPr>
            <w:tcW w:type="dxa" w:w="7056"/>
          </w:tcPr>
          <w:p>
            <w:pPr>
              <w:spacing w:line="240" w:lineRule="auto" w:after="40"/>
            </w:pPr>
            <w:r/>
            <w:r>
              <w:rPr>
                <w:sz w:val="19"/>
              </w:rPr>
              <w:t>Kaggle — https://www.kaggle.com/datasets/colabsss/academic-library-book-recommendation-data</w:t>
            </w:r>
          </w:p>
        </w:tc>
      </w:tr>
      <w:tr>
        <w:trPr>
          <w:cantSplit/>
        </w:trPr>
        <w:tc>
          <w:tcPr>
            <w:tcW w:type="dxa" w:w="2304"/>
          </w:tcPr>
          <w:p>
            <w:pPr>
              <w:spacing w:line="240" w:lineRule="auto" w:after="40"/>
            </w:pPr>
            <w:r/>
            <w:r>
              <w:rPr>
                <w:sz w:val="19"/>
              </w:rPr>
              <w:t>Date accessed</w:t>
            </w:r>
          </w:p>
        </w:tc>
        <w:tc>
          <w:tcPr>
            <w:tcW w:type="dxa" w:w="7056"/>
          </w:tcPr>
          <w:p>
            <w:pPr>
              <w:spacing w:line="240" w:lineRule="auto" w:after="40"/>
            </w:pPr>
            <w:r/>
            <w:r>
              <w:rPr>
                <w:sz w:val="19"/>
              </w:rPr>
              <w:t>August 25, 2026</w:t>
            </w:r>
          </w:p>
        </w:tc>
      </w:tr>
      <w:tr>
        <w:trPr>
          <w:cantSplit/>
        </w:trPr>
        <w:tc>
          <w:tcPr>
            <w:tcW w:type="dxa" w:w="2304"/>
          </w:tcPr>
          <w:p>
            <w:pPr>
              <w:spacing w:line="240" w:lineRule="auto" w:after="40"/>
            </w:pPr>
            <w:r/>
            <w:r>
              <w:rPr>
                <w:sz w:val="19"/>
              </w:rPr>
              <w:t>License / terms</w:t>
            </w:r>
          </w:p>
        </w:tc>
        <w:tc>
          <w:tcPr>
            <w:tcW w:type="dxa" w:w="7056"/>
          </w:tcPr>
          <w:p>
            <w:pPr>
              <w:spacing w:line="240" w:lineRule="auto" w:after="40"/>
            </w:pPr>
            <w:r/>
            <w:r>
              <w:rPr>
                <w:sz w:val="19"/>
              </w:rPr>
              <w:t>Used under the terms shown on the Kaggle dataset page, for non-commercial academic coursework only</w:t>
            </w:r>
          </w:p>
        </w:tc>
      </w:tr>
      <w:tr>
        <w:trPr>
          <w:cantSplit/>
        </w:trPr>
        <w:tc>
          <w:tcPr>
            <w:tcW w:type="dxa" w:w="2304"/>
          </w:tcPr>
          <w:p>
            <w:pPr>
              <w:spacing w:line="240" w:lineRule="auto" w:after="40"/>
            </w:pPr>
            <w:r/>
            <w:r>
              <w:rPr>
                <w:sz w:val="19"/>
              </w:rPr>
              <w:t>Size</w:t>
            </w:r>
          </w:p>
        </w:tc>
        <w:tc>
          <w:tcPr>
            <w:tcW w:type="dxa" w:w="7056"/>
          </w:tcPr>
          <w:p>
            <w:pPr>
              <w:spacing w:line="240" w:lineRule="auto" w:after="40"/>
            </w:pPr>
            <w:r/>
            <w:r>
              <w:rPr>
                <w:sz w:val="19"/>
              </w:rPr>
              <w:t>12,000 rows × 28 columns (exceeds the 200-row minimum)</w:t>
            </w:r>
          </w:p>
        </w:tc>
      </w:tr>
      <w:tr>
        <w:trPr>
          <w:cantSplit/>
        </w:trPr>
        <w:tc>
          <w:tcPr>
            <w:tcW w:type="dxa" w:w="2304"/>
          </w:tcPr>
          <w:p>
            <w:pPr>
              <w:spacing w:line="240" w:lineRule="auto" w:after="40"/>
            </w:pPr>
            <w:r/>
            <w:r>
              <w:rPr>
                <w:sz w:val="19"/>
              </w:rPr>
              <w:t>Nature of data</w:t>
            </w:r>
          </w:p>
        </w:tc>
        <w:tc>
          <w:tcPr>
            <w:tcW w:type="dxa" w:w="7056"/>
          </w:tcPr>
          <w:p>
            <w:pPr>
              <w:spacing w:line="240" w:lineRule="auto" w:after="40"/>
            </w:pPr>
            <w:r/>
            <w:r>
              <w:rPr>
                <w:sz w:val="19"/>
              </w:rPr>
              <w:t>Synthetic/simulated; each row is one patron–book interaction event</w:t>
            </w:r>
          </w:p>
        </w:tc>
      </w:tr>
    </w:tbl>
    <w:p>
      <w:pPr>
        <w:spacing w:after="40"/>
      </w:pPr>
    </w:p>
    <w:p>
      <w:pPr>
        <w:jc w:val="both"/>
      </w:pPr>
      <w:r>
        <w:rPr>
          <w:b/>
          <w:i w:val="0"/>
        </w:rPr>
        <w:t>Data quality.</w:t>
      </w:r>
      <w:r>
        <w:rPr>
          <w:b w:val="0"/>
          <w:i w:val="0"/>
        </w:rPr>
        <w:t xml:space="preserve"> The file has no missing values and no exact duplicates. Every User_ID and Book_ID appears exactly once, IDs increase in lockstep with row order, category distributions are almost perfectly balanced, and Books_Returned_On_Time sometimes exceeds Books_Borrowed_Last_6_Months. These signs show the data were generated rather than extracted from real circulation logs. We disclose this openly and treat the two count columns as independent descriptive counts rather than computing a return rate. Cleaning steps: Yes/No flags cast to numeric (0/1); surrogate event_id generated; flat file split into three normalized tables; referential integrity verified.</w:t>
      </w:r>
    </w:p>
    <w:p>
      <w:pPr>
        <w:jc w:val="both"/>
      </w:pPr>
      <w:r>
        <w:rPr>
          <w:b/>
          <w:i w:val="0"/>
        </w:rPr>
        <w:t>Refinement since Checkpoint 1.</w:t>
      </w:r>
      <w:r>
        <w:rPr>
          <w:b w:val="0"/>
          <w:i w:val="0"/>
        </w:rPr>
        <w:t xml:space="preserve"> Our modeling work showed that Cold_Start_User is essentially a borrowing-history threshold: every cold-start patron has Borrowing_Frequency ≤ 5 (mean 3.0), while established patrons average 22.9. This sharpened BQ3 from “are new patrons underserved?” to “is the gap caused by being new, or by having little borrowing history?”, which Section 7 answers.</w:t>
      </w:r>
    </w:p>
    <w:p>
      <w:r>
        <w:br w:type="page"/>
      </w:r>
    </w:p>
    <w:p>
      <w:pPr>
        <w:pStyle w:val="Heading1"/>
      </w:pPr>
      <w:r>
        <w:t>4. Database Design and SQL Analysis</w:t>
      </w:r>
    </w:p>
    <w:p>
      <w:pPr>
        <w:pStyle w:val="Heading2"/>
      </w:pPr>
      <w:r>
        <w:t>4.1 Final Entity-Relationship Diagram</w:t>
      </w:r>
    </w:p>
    <w:p>
      <w:pPr>
        <w:jc w:val="both"/>
      </w:pPr>
      <w:r>
        <w:rPr>
          <w:b w:val="0"/>
          <w:i w:val="0"/>
        </w:rPr>
        <w:t xml:space="preserve">The flat export was normalized into three tables. </w:t>
      </w:r>
      <w:r>
        <w:rPr>
          <w:b/>
          <w:i w:val="0"/>
        </w:rPr>
        <w:t>users</w:t>
      </w:r>
      <w:r>
        <w:rPr>
          <w:b w:val="0"/>
          <w:i w:val="0"/>
        </w:rPr>
        <w:t xml:space="preserve"> (user_id PK, user_type, department) and </w:t>
      </w:r>
      <w:r>
        <w:rPr>
          <w:b/>
          <w:i w:val="0"/>
        </w:rPr>
        <w:t>books</w:t>
      </w:r>
      <w:r>
        <w:rPr>
          <w:b w:val="0"/>
          <w:i w:val="0"/>
        </w:rPr>
        <w:t xml:space="preserve"> (book_id PK, book_category, book_format) are dimension tables; </w:t>
      </w:r>
      <w:r>
        <w:rPr>
          <w:b/>
          <w:i w:val="0"/>
        </w:rPr>
        <w:t>borrowing_events</w:t>
      </w:r>
      <w:r>
        <w:rPr>
          <w:b w:val="0"/>
          <w:i w:val="0"/>
        </w:rPr>
        <w:t xml:space="preserve"> (event_id PK, user_id FK, book_id FK, interaction details, behavior counts and scores) is the fact table. One user and one book can each appear in many events (two one-to-many relationships). The database was built and loaded with SQL/library_db_setup.sql.</w:t>
      </w:r>
    </w:p>
    <w:p>
      <w:pPr>
        <w:keepNext/>
        <w:spacing w:line="240" w:lineRule="auto"/>
        <w:jc w:val="center"/>
      </w:pPr>
      <w:r>
        <w:drawing>
          <wp:inline xmlns:a="http://schemas.openxmlformats.org/drawingml/2006/main" xmlns:pic="http://schemas.openxmlformats.org/drawingml/2006/picture">
            <wp:extent cx="4937760" cy="3541382"/>
            <wp:docPr id="1" name="Picture 1"/>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4937760" cy="3541382"/>
                    </a:xfrm>
                    <a:prstGeom prst="rect"/>
                  </pic:spPr>
                </pic:pic>
              </a:graphicData>
            </a:graphic>
          </wp:inline>
        </w:drawing>
      </w:r>
    </w:p>
    <w:p>
      <w:pPr>
        <w:pStyle w:val="Caption"/>
        <w:jc w:val="center"/>
      </w:pPr>
      <w:r>
        <w:t>Figure 1. Entity-relationship diagram of the library_analytics_db database</w:t>
      </w:r>
    </w:p>
    <w:p>
      <w:pPr>
        <w:pStyle w:val="Heading2"/>
      </w:pPr>
      <w:r>
        <w:t>4.2 SQL Query Results</w:t>
      </w:r>
    </w:p>
    <w:p>
      <w:pPr>
        <w:jc w:val="both"/>
      </w:pPr>
      <w:r>
        <w:rPr>
          <w:b w:val="0"/>
          <w:i w:val="0"/>
        </w:rPr>
        <w:t>Eight queries (SQL/checkpoint1_queries.sql) cover SELECT with WHERE/ORDER BY, GROUP BY with aggregates, multi-table JOINs, and queries that answer the business questions directly.</w:t>
      </w:r>
    </w:p>
    <w:p>
      <w:pPr>
        <w:pStyle w:val="Caption"/>
        <w:keepNext/>
      </w:pPr>
      <w:r>
        <w:t>Table 3. Summary of the eight SQL queries and their business meaning</w:t>
      </w:r>
    </w:p>
    <w:tbl>
      <w:tblPr>
        <w:tblStyle w:val="TableGrid"/>
        <w:tblW w:type="auto" w:w="0"/>
        <w:jc w:val="center"/>
        <w:tblLayout w:type="fixed"/>
        <w:tblLook w:firstColumn="1" w:firstRow="1" w:lastColumn="0" w:lastRow="0" w:noHBand="0" w:noVBand="1" w:val="04A0"/>
      </w:tblPr>
      <w:tblGrid>
        <w:gridCol w:w="432"/>
        <w:gridCol w:w="2880"/>
        <w:gridCol w:w="3168"/>
        <w:gridCol w:w="2880"/>
      </w:tblGrid>
      <w:tr>
        <w:trPr>
          <w:tblHeader w:val="true"/>
          <w:cantSplit/>
        </w:trPr>
        <w:tc>
          <w:tcPr>
            <w:tcW w:type="dxa" w:w="432"/>
            <w:shd w:val="clear" w:color="auto" w:fill="1F4E79"/>
          </w:tcPr>
          <w:p>
            <w:pPr>
              <w:spacing w:line="240" w:lineRule="auto" w:after="40"/>
            </w:pPr>
            <w:r/>
            <w:r>
              <w:rPr>
                <w:b/>
                <w:color w:val="FFFFFF"/>
                <w:sz w:val="17"/>
              </w:rPr>
              <w:t>#</w:t>
            </w:r>
          </w:p>
        </w:tc>
        <w:tc>
          <w:tcPr>
            <w:tcW w:type="dxa" w:w="2880"/>
            <w:shd w:val="clear" w:color="auto" w:fill="1F4E79"/>
          </w:tcPr>
          <w:p>
            <w:pPr>
              <w:spacing w:line="240" w:lineRule="auto" w:after="40"/>
            </w:pPr>
            <w:r/>
            <w:r>
              <w:rPr>
                <w:b/>
                <w:color w:val="FFFFFF"/>
                <w:sz w:val="17"/>
              </w:rPr>
              <w:t>Query purpose</w:t>
            </w:r>
          </w:p>
        </w:tc>
        <w:tc>
          <w:tcPr>
            <w:tcW w:type="dxa" w:w="3168"/>
            <w:shd w:val="clear" w:color="auto" w:fill="1F4E79"/>
          </w:tcPr>
          <w:p>
            <w:pPr>
              <w:spacing w:line="240" w:lineRule="auto" w:after="40"/>
            </w:pPr>
            <w:r/>
            <w:r>
              <w:rPr>
                <w:b/>
                <w:color w:val="FFFFFF"/>
                <w:sz w:val="17"/>
              </w:rPr>
              <w:t>Key result</w:t>
            </w:r>
          </w:p>
        </w:tc>
        <w:tc>
          <w:tcPr>
            <w:tcW w:type="dxa" w:w="2880"/>
            <w:shd w:val="clear" w:color="auto" w:fill="1F4E79"/>
          </w:tcPr>
          <w:p>
            <w:pPr>
              <w:spacing w:line="240" w:lineRule="auto" w:after="40"/>
            </w:pPr>
            <w:r/>
            <w:r>
              <w:rPr>
                <w:b/>
                <w:color w:val="FFFFFF"/>
                <w:sz w:val="17"/>
              </w:rPr>
              <w:t>Business meaning</w:t>
            </w:r>
          </w:p>
        </w:tc>
      </w:tr>
      <w:tr>
        <w:trPr>
          <w:cantSplit/>
        </w:trPr>
        <w:tc>
          <w:tcPr>
            <w:tcW w:type="dxa" w:w="432"/>
          </w:tcPr>
          <w:p>
            <w:pPr>
              <w:spacing w:line="240" w:lineRule="auto" w:after="40"/>
            </w:pPr>
            <w:r/>
            <w:r>
              <w:rPr>
                <w:sz w:val="17"/>
              </w:rPr>
              <w:t>1</w:t>
            </w:r>
          </w:p>
        </w:tc>
        <w:tc>
          <w:tcPr>
            <w:tcW w:type="dxa" w:w="2880"/>
          </w:tcPr>
          <w:p>
            <w:pPr>
              <w:spacing w:line="240" w:lineRule="auto" w:after="40"/>
            </w:pPr>
            <w:r/>
            <w:r>
              <w:rPr>
                <w:sz w:val="17"/>
              </w:rPr>
              <w:t>Top 10 borrowers flagged irregular (WHERE, ORDER BY)</w:t>
            </w:r>
          </w:p>
        </w:tc>
        <w:tc>
          <w:tcPr>
            <w:tcW w:type="dxa" w:w="3168"/>
          </w:tcPr>
          <w:p>
            <w:pPr>
              <w:spacing w:line="240" w:lineRule="auto" w:after="40"/>
            </w:pPr>
            <w:r/>
            <w:r>
              <w:rPr>
                <w:sz w:val="17"/>
              </w:rPr>
              <w:t>Several irregular-flagged patrons sit at the maximum frequency of 45</w:t>
            </w:r>
          </w:p>
        </w:tc>
        <w:tc>
          <w:tcPr>
            <w:tcW w:type="dxa" w:w="2880"/>
          </w:tcPr>
          <w:p>
            <w:pPr>
              <w:spacing w:line="240" w:lineRule="auto" w:after="40"/>
            </w:pPr>
            <w:r/>
            <w:r>
              <w:rPr>
                <w:sz w:val="17"/>
              </w:rPr>
              <w:t>High frequency does not guarantee regular borrowing; worth manual review</w:t>
            </w:r>
          </w:p>
        </w:tc>
      </w:tr>
      <w:tr>
        <w:trPr>
          <w:cantSplit/>
        </w:trPr>
        <w:tc>
          <w:tcPr>
            <w:tcW w:type="dxa" w:w="432"/>
          </w:tcPr>
          <w:p>
            <w:pPr>
              <w:spacing w:line="240" w:lineRule="auto" w:after="40"/>
            </w:pPr>
            <w:r/>
            <w:r>
              <w:rPr>
                <w:sz w:val="17"/>
              </w:rPr>
              <w:t>2</w:t>
            </w:r>
          </w:p>
        </w:tc>
        <w:tc>
          <w:tcPr>
            <w:tcW w:type="dxa" w:w="2880"/>
          </w:tcPr>
          <w:p>
            <w:pPr>
              <w:spacing w:line="240" w:lineRule="auto" w:after="40"/>
            </w:pPr>
            <w:r/>
            <w:r>
              <w:rPr>
                <w:sz w:val="17"/>
              </w:rPr>
              <w:t>Longest reading sessions among Borrowed events</w:t>
            </w:r>
          </w:p>
        </w:tc>
        <w:tc>
          <w:tcPr>
            <w:tcW w:type="dxa" w:w="3168"/>
          </w:tcPr>
          <w:p>
            <w:pPr>
              <w:spacing w:line="240" w:lineRule="auto" w:after="40"/>
            </w:pPr>
            <w:r/>
            <w:r>
              <w:rPr>
                <w:sz w:val="17"/>
              </w:rPr>
              <w:t>Sessions of 150–180 minutes</w:t>
            </w:r>
          </w:p>
        </w:tc>
        <w:tc>
          <w:tcPr>
            <w:tcW w:type="dxa" w:w="2880"/>
          </w:tcPr>
          <w:p>
            <w:pPr>
              <w:spacing w:line="240" w:lineRule="auto" w:after="40"/>
            </w:pPr>
            <w:r/>
            <w:r>
              <w:rPr>
                <w:sz w:val="17"/>
              </w:rPr>
              <w:t>Identifies the most invested readers</w:t>
            </w:r>
          </w:p>
        </w:tc>
      </w:tr>
      <w:tr>
        <w:trPr>
          <w:cantSplit/>
        </w:trPr>
        <w:tc>
          <w:tcPr>
            <w:tcW w:type="dxa" w:w="432"/>
          </w:tcPr>
          <w:p>
            <w:pPr>
              <w:spacing w:line="240" w:lineRule="auto" w:after="40"/>
            </w:pPr>
            <w:r/>
            <w:r>
              <w:rPr>
                <w:sz w:val="17"/>
              </w:rPr>
              <w:t>3</w:t>
            </w:r>
          </w:p>
        </w:tc>
        <w:tc>
          <w:tcPr>
            <w:tcW w:type="dxa" w:w="2880"/>
          </w:tcPr>
          <w:p>
            <w:pPr>
              <w:spacing w:line="240" w:lineRule="auto" w:after="40"/>
            </w:pPr>
            <w:r/>
            <w:r>
              <w:rPr>
                <w:sz w:val="17"/>
              </w:rPr>
              <w:t>Recommendation score, cold-start vs established (GROUP BY)</w:t>
            </w:r>
          </w:p>
        </w:tc>
        <w:tc>
          <w:tcPr>
            <w:tcW w:type="dxa" w:w="3168"/>
          </w:tcPr>
          <w:p>
            <w:pPr>
              <w:spacing w:line="240" w:lineRule="auto" w:after="40"/>
            </w:pPr>
            <w:r/>
            <w:r>
              <w:rPr>
                <w:sz w:val="17"/>
              </w:rPr>
              <w:t>0.478 vs 0.574; search count 40.3 vs 40.4</w:t>
            </w:r>
          </w:p>
        </w:tc>
        <w:tc>
          <w:tcPr>
            <w:tcW w:type="dxa" w:w="2880"/>
          </w:tcPr>
          <w:p>
            <w:pPr>
              <w:spacing w:line="240" w:lineRule="auto" w:after="40"/>
            </w:pPr>
            <w:r/>
            <w:r>
              <w:rPr>
                <w:sz w:val="17"/>
              </w:rPr>
              <w:t>Same effort, lower score for new patrons</w:t>
            </w:r>
          </w:p>
        </w:tc>
      </w:tr>
      <w:tr>
        <w:trPr>
          <w:cantSplit/>
        </w:trPr>
        <w:tc>
          <w:tcPr>
            <w:tcW w:type="dxa" w:w="432"/>
          </w:tcPr>
          <w:p>
            <w:pPr>
              <w:spacing w:line="240" w:lineRule="auto" w:after="40"/>
            </w:pPr>
            <w:r/>
            <w:r>
              <w:rPr>
                <w:sz w:val="17"/>
              </w:rPr>
              <w:t>4</w:t>
            </w:r>
          </w:p>
        </w:tc>
        <w:tc>
          <w:tcPr>
            <w:tcW w:type="dxa" w:w="2880"/>
          </w:tcPr>
          <w:p>
            <w:pPr>
              <w:spacing w:line="240" w:lineRule="auto" w:after="40"/>
            </w:pPr>
            <w:r/>
            <w:r>
              <w:rPr>
                <w:sz w:val="17"/>
              </w:rPr>
              <w:t>Borrowing frequency by feedback level (GROUP BY)</w:t>
            </w:r>
          </w:p>
        </w:tc>
        <w:tc>
          <w:tcPr>
            <w:tcW w:type="dxa" w:w="3168"/>
          </w:tcPr>
          <w:p>
            <w:pPr>
              <w:spacing w:line="240" w:lineRule="auto" w:after="40"/>
            </w:pPr>
            <w:r/>
            <w:r>
              <w:rPr>
                <w:sz w:val="17"/>
              </w:rPr>
              <w:t>19.3 / 18.9 / 19.5 for High / Low / Medium</w:t>
            </w:r>
          </w:p>
        </w:tc>
        <w:tc>
          <w:tcPr>
            <w:tcW w:type="dxa" w:w="2880"/>
          </w:tcPr>
          <w:p>
            <w:pPr>
              <w:spacing w:line="240" w:lineRule="auto" w:after="40"/>
            </w:pPr>
            <w:r/>
            <w:r>
              <w:rPr>
                <w:sz w:val="17"/>
              </w:rPr>
              <w:t>Satisfaction is unrelated to borrowing intensity</w:t>
            </w:r>
          </w:p>
        </w:tc>
      </w:tr>
      <w:tr>
        <w:trPr>
          <w:cantSplit/>
        </w:trPr>
        <w:tc>
          <w:tcPr>
            <w:tcW w:type="dxa" w:w="432"/>
          </w:tcPr>
          <w:p>
            <w:pPr>
              <w:spacing w:line="240" w:lineRule="auto" w:after="40"/>
            </w:pPr>
            <w:r/>
            <w:r>
              <w:rPr>
                <w:sz w:val="17"/>
              </w:rPr>
              <w:t>5</w:t>
            </w:r>
          </w:p>
        </w:tc>
        <w:tc>
          <w:tcPr>
            <w:tcW w:type="dxa" w:w="2880"/>
          </w:tcPr>
          <w:p>
            <w:pPr>
              <w:spacing w:line="240" w:lineRule="auto" w:after="40"/>
            </w:pPr>
            <w:r/>
            <w:r>
              <w:rPr>
                <w:sz w:val="17"/>
              </w:rPr>
              <w:t>Engagement by book category (JOIN)</w:t>
            </w:r>
          </w:p>
        </w:tc>
        <w:tc>
          <w:tcPr>
            <w:tcW w:type="dxa" w:w="3168"/>
          </w:tcPr>
          <w:p>
            <w:pPr>
              <w:spacing w:line="240" w:lineRule="auto" w:after="40"/>
            </w:pPr>
            <w:r/>
            <w:r>
              <w:rPr>
                <w:sz w:val="17"/>
              </w:rPr>
              <w:t>AI (15.3) and Data Science (15.1) lead; Law lowest (13.8)</w:t>
            </w:r>
          </w:p>
        </w:tc>
        <w:tc>
          <w:tcPr>
            <w:tcW w:type="dxa" w:w="2880"/>
          </w:tcPr>
          <w:p>
            <w:pPr>
              <w:spacing w:line="240" w:lineRule="auto" w:after="40"/>
            </w:pPr>
            <w:r/>
            <w:r>
              <w:rPr>
                <w:sz w:val="17"/>
              </w:rPr>
              <w:t>Small differences; modest acquisition signal</w:t>
            </w:r>
          </w:p>
        </w:tc>
      </w:tr>
      <w:tr>
        <w:trPr>
          <w:cantSplit/>
        </w:trPr>
        <w:tc>
          <w:tcPr>
            <w:tcW w:type="dxa" w:w="432"/>
          </w:tcPr>
          <w:p>
            <w:pPr>
              <w:spacing w:line="240" w:lineRule="auto" w:after="40"/>
            </w:pPr>
            <w:r/>
            <w:r>
              <w:rPr>
                <w:sz w:val="17"/>
              </w:rPr>
              <w:t>6</w:t>
            </w:r>
          </w:p>
        </w:tc>
        <w:tc>
          <w:tcPr>
            <w:tcW w:type="dxa" w:w="2880"/>
          </w:tcPr>
          <w:p>
            <w:pPr>
              <w:spacing w:line="240" w:lineRule="auto" w:after="40"/>
            </w:pPr>
            <w:r/>
            <w:r>
              <w:rPr>
                <w:sz w:val="17"/>
              </w:rPr>
              <w:t>Irregular rate by department (JOIN)</w:t>
            </w:r>
          </w:p>
        </w:tc>
        <w:tc>
          <w:tcPr>
            <w:tcW w:type="dxa" w:w="3168"/>
          </w:tcPr>
          <w:p>
            <w:pPr>
              <w:spacing w:line="240" w:lineRule="auto" w:after="40"/>
            </w:pPr>
            <w:r/>
            <w:r>
              <w:rPr>
                <w:sz w:val="17"/>
              </w:rPr>
              <w:t>Medicine 17.1%, Computer Science 16.7%, Science 14.9%</w:t>
            </w:r>
          </w:p>
        </w:tc>
        <w:tc>
          <w:tcPr>
            <w:tcW w:type="dxa" w:w="2880"/>
          </w:tcPr>
          <w:p>
            <w:pPr>
              <w:spacing w:line="240" w:lineRule="auto" w:after="40"/>
            </w:pPr>
            <w:r/>
            <w:r>
              <w:rPr>
                <w:sz w:val="17"/>
              </w:rPr>
              <w:t>Narrow spread; not statistically significant</w:t>
            </w:r>
          </w:p>
        </w:tc>
      </w:tr>
      <w:tr>
        <w:trPr>
          <w:cantSplit/>
        </w:trPr>
        <w:tc>
          <w:tcPr>
            <w:tcW w:type="dxa" w:w="432"/>
          </w:tcPr>
          <w:p>
            <w:pPr>
              <w:spacing w:line="240" w:lineRule="auto" w:after="40"/>
            </w:pPr>
            <w:r/>
            <w:r>
              <w:rPr>
                <w:sz w:val="17"/>
              </w:rPr>
              <w:t>7</w:t>
            </w:r>
          </w:p>
        </w:tc>
        <w:tc>
          <w:tcPr>
            <w:tcW w:type="dxa" w:w="2880"/>
          </w:tcPr>
          <w:p>
            <w:pPr>
              <w:spacing w:line="240" w:lineRule="auto" w:after="40"/>
            </w:pPr>
            <w:r/>
            <w:r>
              <w:rPr>
                <w:sz w:val="17"/>
              </w:rPr>
              <w:t>Borrows by book format (BQ2)</w:t>
            </w:r>
          </w:p>
        </w:tc>
        <w:tc>
          <w:tcPr>
            <w:tcW w:type="dxa" w:w="3168"/>
          </w:tcPr>
          <w:p>
            <w:pPr>
              <w:spacing w:line="240" w:lineRule="auto" w:after="40"/>
            </w:pPr>
            <w:r/>
            <w:r>
              <w:rPr>
                <w:sz w:val="17"/>
              </w:rPr>
              <w:t>594–617 per format</w:t>
            </w:r>
          </w:p>
        </w:tc>
        <w:tc>
          <w:tcPr>
            <w:tcW w:type="dxa" w:w="2880"/>
          </w:tcPr>
          <w:p>
            <w:pPr>
              <w:spacing w:line="240" w:lineRule="auto" w:after="40"/>
            </w:pPr>
            <w:r/>
            <w:r>
              <w:rPr>
                <w:sz w:val="17"/>
              </w:rPr>
              <w:t>Format is not a demand differentiator</w:t>
            </w:r>
          </w:p>
        </w:tc>
      </w:tr>
      <w:tr>
        <w:trPr>
          <w:cantSplit/>
        </w:trPr>
        <w:tc>
          <w:tcPr>
            <w:tcW w:type="dxa" w:w="432"/>
          </w:tcPr>
          <w:p>
            <w:pPr>
              <w:spacing w:line="240" w:lineRule="auto" w:after="40"/>
            </w:pPr>
            <w:r/>
            <w:r>
              <w:rPr>
                <w:sz w:val="17"/>
              </w:rPr>
              <w:t>8</w:t>
            </w:r>
          </w:p>
        </w:tc>
        <w:tc>
          <w:tcPr>
            <w:tcW w:type="dxa" w:w="2880"/>
          </w:tcPr>
          <w:p>
            <w:pPr>
              <w:spacing w:line="240" w:lineRule="auto" w:after="40"/>
            </w:pPr>
            <w:r/>
            <w:r>
              <w:rPr>
                <w:sz w:val="17"/>
              </w:rPr>
              <w:t>Cold-start vs established patrons (BQ3)</w:t>
            </w:r>
          </w:p>
        </w:tc>
        <w:tc>
          <w:tcPr>
            <w:tcW w:type="dxa" w:w="3168"/>
          </w:tcPr>
          <w:p>
            <w:pPr>
              <w:spacing w:line="240" w:lineRule="auto" w:after="40"/>
            </w:pPr>
            <w:r/>
            <w:r>
              <w:rPr>
                <w:sz w:val="17"/>
              </w:rPr>
              <w:t>18.5% of events; rating 2.99 vs 2.99; score 0.478 vs 0.574</w:t>
            </w:r>
          </w:p>
        </w:tc>
        <w:tc>
          <w:tcPr>
            <w:tcW w:type="dxa" w:w="2880"/>
          </w:tcPr>
          <w:p>
            <w:pPr>
              <w:spacing w:line="240" w:lineRule="auto" w:after="40"/>
            </w:pPr>
            <w:r/>
            <w:r>
              <w:rPr>
                <w:sz w:val="17"/>
              </w:rPr>
              <w:t>Equal satisfaction, lower recommendation quality</w:t>
            </w:r>
          </w:p>
        </w:tc>
      </w:tr>
    </w:tbl>
    <w:p>
      <w:pPr>
        <w:spacing w:after="40"/>
      </w:pPr>
    </w:p>
    <w:p>
      <w:pPr>
        <w:jc w:val="both"/>
      </w:pPr>
      <w:r>
        <w:rPr>
          <w:b/>
          <w:i w:val="0"/>
        </w:rPr>
        <w:t>Interpretation.</w:t>
      </w:r>
      <w:r>
        <w:rPr>
          <w:b w:val="0"/>
          <w:i w:val="0"/>
        </w:rPr>
        <w:t xml:space="preserve"> The SQL layer answers all three business questions descriptively. For BQ1, irregular borrowing is spread almost evenly (a chi-square test across departments gives p = 0.81, and across patron types p = 0.96). For BQ2, format makes no difference and category differences are small (an ANOVA on 6-month borrowing across categories gives p = 0.04, a weak effect). For BQ3, new patrons are clearly served worse.</w:t>
      </w:r>
    </w:p>
    <w:p>
      <w:r>
        <w:br w:type="page"/>
      </w:r>
    </w:p>
    <w:p>
      <w:pPr>
        <w:pStyle w:val="Heading1"/>
      </w:pPr>
      <w:r>
        <w:t>5. Statistical Analysis</w:t>
      </w:r>
    </w:p>
    <w:p>
      <w:pPr>
        <w:pStyle w:val="Heading2"/>
      </w:pPr>
      <w:r>
        <w:t>5.1 Descriptive Statistics</w:t>
      </w:r>
    </w:p>
    <w:p>
      <w:pPr>
        <w:pStyle w:val="Caption"/>
        <w:keepNext/>
      </w:pPr>
      <w:r>
        <w:t>Table 4. Descriptive statistics for three key variables (n = 12,000)</w:t>
      </w:r>
    </w:p>
    <w:tbl>
      <w:tblPr>
        <w:tblStyle w:val="TableGrid"/>
        <w:tblW w:type="auto" w:w="0"/>
        <w:jc w:val="center"/>
        <w:tblLayout w:type="fixed"/>
        <w:tblLook w:firstColumn="1" w:firstRow="1" w:lastColumn="0" w:lastRow="0" w:noHBand="0" w:noVBand="1" w:val="04A0"/>
      </w:tblPr>
      <w:tblGrid>
        <w:gridCol w:w="2160"/>
        <w:gridCol w:w="2448"/>
        <w:gridCol w:w="2448"/>
        <w:gridCol w:w="2304"/>
      </w:tblGrid>
      <w:tr>
        <w:trPr>
          <w:tblHeader w:val="true"/>
          <w:cantSplit/>
        </w:trPr>
        <w:tc>
          <w:tcPr>
            <w:tcW w:type="dxa" w:w="2160"/>
            <w:shd w:val="clear" w:color="auto" w:fill="1F4E79"/>
          </w:tcPr>
          <w:p>
            <w:pPr>
              <w:spacing w:line="240" w:lineRule="auto" w:after="40"/>
            </w:pPr>
            <w:r/>
            <w:r>
              <w:rPr>
                <w:b/>
                <w:color w:val="FFFFFF"/>
                <w:sz w:val="20"/>
              </w:rPr>
              <w:t>Statistic</w:t>
            </w:r>
          </w:p>
        </w:tc>
        <w:tc>
          <w:tcPr>
            <w:tcW w:type="dxa" w:w="2448"/>
            <w:shd w:val="clear" w:color="auto" w:fill="1F4E79"/>
          </w:tcPr>
          <w:p>
            <w:pPr>
              <w:spacing w:line="240" w:lineRule="auto" w:after="40"/>
            </w:pPr>
            <w:r/>
            <w:r>
              <w:rPr>
                <w:b/>
                <w:color w:val="FFFFFF"/>
                <w:sz w:val="20"/>
              </w:rPr>
              <w:t>Borrowing Frequency</w:t>
            </w:r>
          </w:p>
        </w:tc>
        <w:tc>
          <w:tcPr>
            <w:tcW w:type="dxa" w:w="2448"/>
            <w:shd w:val="clear" w:color="auto" w:fill="1F4E79"/>
          </w:tcPr>
          <w:p>
            <w:pPr>
              <w:spacing w:line="240" w:lineRule="auto" w:after="40"/>
            </w:pPr>
            <w:r/>
            <w:r>
              <w:rPr>
                <w:b/>
                <w:color w:val="FFFFFF"/>
                <w:sz w:val="20"/>
              </w:rPr>
              <w:t>Reading Duration (min)</w:t>
            </w:r>
          </w:p>
        </w:tc>
        <w:tc>
          <w:tcPr>
            <w:tcW w:type="dxa" w:w="2304"/>
            <w:shd w:val="clear" w:color="auto" w:fill="1F4E79"/>
          </w:tcPr>
          <w:p>
            <w:pPr>
              <w:spacing w:line="240" w:lineRule="auto" w:after="40"/>
            </w:pPr>
            <w:r/>
            <w:r>
              <w:rPr>
                <w:b/>
                <w:color w:val="FFFFFF"/>
                <w:sz w:val="20"/>
              </w:rPr>
              <w:t>Recommendation Score</w:t>
            </w:r>
          </w:p>
        </w:tc>
      </w:tr>
      <w:tr>
        <w:trPr>
          <w:cantSplit/>
        </w:trPr>
        <w:tc>
          <w:tcPr>
            <w:tcW w:type="dxa" w:w="2160"/>
          </w:tcPr>
          <w:p>
            <w:pPr>
              <w:spacing w:line="240" w:lineRule="auto" w:after="40"/>
            </w:pPr>
            <w:r/>
            <w:r>
              <w:rPr>
                <w:sz w:val="20"/>
              </w:rPr>
              <w:t>Mean</w:t>
            </w:r>
          </w:p>
        </w:tc>
        <w:tc>
          <w:tcPr>
            <w:tcW w:type="dxa" w:w="2448"/>
          </w:tcPr>
          <w:p>
            <w:pPr>
              <w:spacing w:line="240" w:lineRule="auto" w:after="40"/>
            </w:pPr>
            <w:r/>
            <w:r>
              <w:rPr>
                <w:sz w:val="20"/>
              </w:rPr>
              <w:t>19.227</w:t>
            </w:r>
          </w:p>
        </w:tc>
        <w:tc>
          <w:tcPr>
            <w:tcW w:type="dxa" w:w="2448"/>
          </w:tcPr>
          <w:p>
            <w:pPr>
              <w:spacing w:line="240" w:lineRule="auto" w:after="40"/>
            </w:pPr>
            <w:r/>
            <w:r>
              <w:rPr>
                <w:sz w:val="20"/>
              </w:rPr>
              <w:t>94.288</w:t>
            </w:r>
          </w:p>
        </w:tc>
        <w:tc>
          <w:tcPr>
            <w:tcW w:type="dxa" w:w="2304"/>
          </w:tcPr>
          <w:p>
            <w:pPr>
              <w:spacing w:line="240" w:lineRule="auto" w:after="40"/>
            </w:pPr>
            <w:r/>
            <w:r>
              <w:rPr>
                <w:sz w:val="20"/>
              </w:rPr>
              <w:t>0.556</w:t>
            </w:r>
          </w:p>
        </w:tc>
      </w:tr>
      <w:tr>
        <w:trPr>
          <w:cantSplit/>
        </w:trPr>
        <w:tc>
          <w:tcPr>
            <w:tcW w:type="dxa" w:w="2160"/>
          </w:tcPr>
          <w:p>
            <w:pPr>
              <w:spacing w:line="240" w:lineRule="auto" w:after="40"/>
            </w:pPr>
            <w:r/>
            <w:r>
              <w:rPr>
                <w:sz w:val="20"/>
              </w:rPr>
              <w:t>Median</w:t>
            </w:r>
          </w:p>
        </w:tc>
        <w:tc>
          <w:tcPr>
            <w:tcW w:type="dxa" w:w="2448"/>
          </w:tcPr>
          <w:p>
            <w:pPr>
              <w:spacing w:line="240" w:lineRule="auto" w:after="40"/>
            </w:pPr>
            <w:r/>
            <w:r>
              <w:rPr>
                <w:sz w:val="20"/>
              </w:rPr>
              <w:t>18.00</w:t>
            </w:r>
          </w:p>
        </w:tc>
        <w:tc>
          <w:tcPr>
            <w:tcW w:type="dxa" w:w="2448"/>
          </w:tcPr>
          <w:p>
            <w:pPr>
              <w:spacing w:line="240" w:lineRule="auto" w:after="40"/>
            </w:pPr>
            <w:r/>
            <w:r>
              <w:rPr>
                <w:sz w:val="20"/>
              </w:rPr>
              <w:t>94.87</w:t>
            </w:r>
          </w:p>
        </w:tc>
        <w:tc>
          <w:tcPr>
            <w:tcW w:type="dxa" w:w="2304"/>
          </w:tcPr>
          <w:p>
            <w:pPr>
              <w:spacing w:line="240" w:lineRule="auto" w:after="40"/>
            </w:pPr>
            <w:r/>
            <w:r>
              <w:rPr>
                <w:sz w:val="20"/>
              </w:rPr>
              <w:t>0.557</w:t>
            </w:r>
          </w:p>
        </w:tc>
      </w:tr>
      <w:tr>
        <w:trPr>
          <w:cantSplit/>
        </w:trPr>
        <w:tc>
          <w:tcPr>
            <w:tcW w:type="dxa" w:w="2160"/>
          </w:tcPr>
          <w:p>
            <w:pPr>
              <w:spacing w:line="240" w:lineRule="auto" w:after="40"/>
            </w:pPr>
            <w:r/>
            <w:r>
              <w:rPr>
                <w:sz w:val="20"/>
              </w:rPr>
              <w:t>Std. deviation</w:t>
            </w:r>
          </w:p>
        </w:tc>
        <w:tc>
          <w:tcPr>
            <w:tcW w:type="dxa" w:w="2448"/>
          </w:tcPr>
          <w:p>
            <w:pPr>
              <w:spacing w:line="240" w:lineRule="auto" w:after="40"/>
            </w:pPr>
            <w:r/>
            <w:r>
              <w:rPr>
                <w:sz w:val="20"/>
              </w:rPr>
              <w:t>14.086</w:t>
            </w:r>
          </w:p>
        </w:tc>
        <w:tc>
          <w:tcPr>
            <w:tcW w:type="dxa" w:w="2448"/>
          </w:tcPr>
          <w:p>
            <w:pPr>
              <w:spacing w:line="240" w:lineRule="auto" w:after="40"/>
            </w:pPr>
            <w:r/>
            <w:r>
              <w:rPr>
                <w:sz w:val="20"/>
              </w:rPr>
              <w:t>49.989</w:t>
            </w:r>
          </w:p>
        </w:tc>
        <w:tc>
          <w:tcPr>
            <w:tcW w:type="dxa" w:w="2304"/>
          </w:tcPr>
          <w:p>
            <w:pPr>
              <w:spacing w:line="240" w:lineRule="auto" w:after="40"/>
            </w:pPr>
            <w:r/>
            <w:r>
              <w:rPr>
                <w:sz w:val="20"/>
              </w:rPr>
              <w:t>0.107</w:t>
            </w:r>
          </w:p>
        </w:tc>
      </w:tr>
      <w:tr>
        <w:trPr>
          <w:cantSplit/>
        </w:trPr>
        <w:tc>
          <w:tcPr>
            <w:tcW w:type="dxa" w:w="2160"/>
          </w:tcPr>
          <w:p>
            <w:pPr>
              <w:spacing w:line="240" w:lineRule="auto" w:after="40"/>
            </w:pPr>
            <w:r/>
            <w:r>
              <w:rPr>
                <w:sz w:val="20"/>
              </w:rPr>
              <w:t>Variance</w:t>
            </w:r>
          </w:p>
        </w:tc>
        <w:tc>
          <w:tcPr>
            <w:tcW w:type="dxa" w:w="2448"/>
          </w:tcPr>
          <w:p>
            <w:pPr>
              <w:spacing w:line="240" w:lineRule="auto" w:after="40"/>
            </w:pPr>
            <w:r/>
            <w:r>
              <w:rPr>
                <w:sz w:val="20"/>
              </w:rPr>
              <w:t>198.413</w:t>
            </w:r>
          </w:p>
        </w:tc>
        <w:tc>
          <w:tcPr>
            <w:tcW w:type="dxa" w:w="2448"/>
          </w:tcPr>
          <w:p>
            <w:pPr>
              <w:spacing w:line="240" w:lineRule="auto" w:after="40"/>
            </w:pPr>
            <w:r/>
            <w:r>
              <w:rPr>
                <w:sz w:val="20"/>
              </w:rPr>
              <w:t>2,498.911</w:t>
            </w:r>
          </w:p>
        </w:tc>
        <w:tc>
          <w:tcPr>
            <w:tcW w:type="dxa" w:w="2304"/>
          </w:tcPr>
          <w:p>
            <w:pPr>
              <w:spacing w:line="240" w:lineRule="auto" w:after="40"/>
            </w:pPr>
            <w:r/>
            <w:r>
              <w:rPr>
                <w:sz w:val="20"/>
              </w:rPr>
              <w:t>0.011</w:t>
            </w:r>
          </w:p>
        </w:tc>
      </w:tr>
      <w:tr>
        <w:trPr>
          <w:cantSplit/>
        </w:trPr>
        <w:tc>
          <w:tcPr>
            <w:tcW w:type="dxa" w:w="2160"/>
          </w:tcPr>
          <w:p>
            <w:pPr>
              <w:spacing w:line="240" w:lineRule="auto" w:after="40"/>
            </w:pPr>
            <w:r/>
            <w:r>
              <w:rPr>
                <w:sz w:val="20"/>
              </w:rPr>
              <w:t>Minimum</w:t>
            </w:r>
          </w:p>
        </w:tc>
        <w:tc>
          <w:tcPr>
            <w:tcW w:type="dxa" w:w="2448"/>
          </w:tcPr>
          <w:p>
            <w:pPr>
              <w:spacing w:line="240" w:lineRule="auto" w:after="40"/>
            </w:pPr>
            <w:r/>
            <w:r>
              <w:rPr>
                <w:sz w:val="20"/>
              </w:rPr>
              <w:t>1.00</w:t>
            </w:r>
          </w:p>
        </w:tc>
        <w:tc>
          <w:tcPr>
            <w:tcW w:type="dxa" w:w="2448"/>
          </w:tcPr>
          <w:p>
            <w:pPr>
              <w:spacing w:line="240" w:lineRule="auto" w:after="40"/>
            </w:pPr>
            <w:r/>
            <w:r>
              <w:rPr>
                <w:sz w:val="20"/>
              </w:rPr>
              <w:t>8.03</w:t>
            </w:r>
          </w:p>
        </w:tc>
        <w:tc>
          <w:tcPr>
            <w:tcW w:type="dxa" w:w="2304"/>
          </w:tcPr>
          <w:p>
            <w:pPr>
              <w:spacing w:line="240" w:lineRule="auto" w:after="40"/>
            </w:pPr>
            <w:r/>
            <w:r>
              <w:rPr>
                <w:sz w:val="20"/>
              </w:rPr>
              <w:t>0.169</w:t>
            </w:r>
          </w:p>
        </w:tc>
      </w:tr>
      <w:tr>
        <w:trPr>
          <w:cantSplit/>
        </w:trPr>
        <w:tc>
          <w:tcPr>
            <w:tcW w:type="dxa" w:w="2160"/>
          </w:tcPr>
          <w:p>
            <w:pPr>
              <w:spacing w:line="240" w:lineRule="auto" w:after="40"/>
            </w:pPr>
            <w:r/>
            <w:r>
              <w:rPr>
                <w:sz w:val="20"/>
              </w:rPr>
              <w:t>Maximum</w:t>
            </w:r>
          </w:p>
        </w:tc>
        <w:tc>
          <w:tcPr>
            <w:tcW w:type="dxa" w:w="2448"/>
          </w:tcPr>
          <w:p>
            <w:pPr>
              <w:spacing w:line="240" w:lineRule="auto" w:after="40"/>
            </w:pPr>
            <w:r/>
            <w:r>
              <w:rPr>
                <w:sz w:val="20"/>
              </w:rPr>
              <w:t>45.00</w:t>
            </w:r>
          </w:p>
        </w:tc>
        <w:tc>
          <w:tcPr>
            <w:tcW w:type="dxa" w:w="2448"/>
          </w:tcPr>
          <w:p>
            <w:pPr>
              <w:spacing w:line="240" w:lineRule="auto" w:after="40"/>
            </w:pPr>
            <w:r/>
            <w:r>
              <w:rPr>
                <w:sz w:val="20"/>
              </w:rPr>
              <w:t>179.98</w:t>
            </w:r>
          </w:p>
        </w:tc>
        <w:tc>
          <w:tcPr>
            <w:tcW w:type="dxa" w:w="2304"/>
          </w:tcPr>
          <w:p>
            <w:pPr>
              <w:spacing w:line="240" w:lineRule="auto" w:after="40"/>
            </w:pPr>
            <w:r/>
            <w:r>
              <w:rPr>
                <w:sz w:val="20"/>
              </w:rPr>
              <w:t>0.916</w:t>
            </w:r>
          </w:p>
        </w:tc>
      </w:tr>
      <w:tr>
        <w:trPr>
          <w:cantSplit/>
        </w:trPr>
        <w:tc>
          <w:tcPr>
            <w:tcW w:type="dxa" w:w="2160"/>
          </w:tcPr>
          <w:p>
            <w:pPr>
              <w:spacing w:line="240" w:lineRule="auto" w:after="40"/>
            </w:pPr>
            <w:r/>
            <w:r>
              <w:rPr>
                <w:sz w:val="20"/>
              </w:rPr>
              <w:t>Range</w:t>
            </w:r>
          </w:p>
        </w:tc>
        <w:tc>
          <w:tcPr>
            <w:tcW w:type="dxa" w:w="2448"/>
          </w:tcPr>
          <w:p>
            <w:pPr>
              <w:spacing w:line="240" w:lineRule="auto" w:after="40"/>
            </w:pPr>
            <w:r/>
            <w:r>
              <w:rPr>
                <w:sz w:val="20"/>
              </w:rPr>
              <w:t>44.00</w:t>
            </w:r>
          </w:p>
        </w:tc>
        <w:tc>
          <w:tcPr>
            <w:tcW w:type="dxa" w:w="2448"/>
          </w:tcPr>
          <w:p>
            <w:pPr>
              <w:spacing w:line="240" w:lineRule="auto" w:after="40"/>
            </w:pPr>
            <w:r/>
            <w:r>
              <w:rPr>
                <w:sz w:val="20"/>
              </w:rPr>
              <w:t>171.95</w:t>
            </w:r>
          </w:p>
        </w:tc>
        <w:tc>
          <w:tcPr>
            <w:tcW w:type="dxa" w:w="2304"/>
          </w:tcPr>
          <w:p>
            <w:pPr>
              <w:spacing w:line="240" w:lineRule="auto" w:after="40"/>
            </w:pPr>
            <w:r/>
            <w:r>
              <w:rPr>
                <w:sz w:val="20"/>
              </w:rPr>
              <w:t>0.747</w:t>
            </w:r>
          </w:p>
        </w:tc>
      </w:tr>
    </w:tbl>
    <w:p>
      <w:pPr>
        <w:spacing w:after="40"/>
      </w:pPr>
    </w:p>
    <w:p>
      <w:pPr>
        <w:jc w:val="both"/>
      </w:pPr>
      <w:r>
        <w:rPr>
          <w:b w:val="0"/>
          <w:i w:val="0"/>
        </w:rPr>
        <w:t>Borrowing frequency is right-skewed: 35.2% of events fall in the lowest bin (1–9) and the mode is 1, but 11.0% reach 40–45, so the library serves many light borrowers alongside a core of heavy ones. Reading duration (mean 94.3, median 94.9) and recommendation score (mean 0.556, median 0.557) are roughly symmetric with wide and moderate spread, respectively.</w:t>
      </w:r>
    </w:p>
    <w:p>
      <w:pPr>
        <w:keepNext/>
        <w:spacing w:line="240" w:lineRule="auto"/>
        <w:jc w:val="center"/>
      </w:pPr>
      <w:r>
        <w:drawing>
          <wp:inline xmlns:a="http://schemas.openxmlformats.org/drawingml/2006/main" xmlns:pic="http://schemas.openxmlformats.org/drawingml/2006/picture">
            <wp:extent cx="4389120" cy="2690106"/>
            <wp:docPr id="2" name="Picture 2"/>
            <wp:cNvGraphicFramePr>
              <a:graphicFrameLocks noChangeAspect="1"/>
            </wp:cNvGraphicFramePr>
            <a:graphic>
              <a:graphicData uri="http://schemas.openxmlformats.org/drawingml/2006/picture">
                <pic:pic>
                  <pic:nvPicPr>
                    <pic:cNvPr id="0" name="cp4_hist_borrowing.png"/>
                    <pic:cNvPicPr/>
                  </pic:nvPicPr>
                  <pic:blipFill>
                    <a:blip r:embed="rId12"/>
                    <a:stretch>
                      <a:fillRect/>
                    </a:stretch>
                  </pic:blipFill>
                  <pic:spPr>
                    <a:xfrm>
                      <a:off x="0" y="0"/>
                      <a:ext cx="4389120" cy="2690106"/>
                    </a:xfrm>
                    <a:prstGeom prst="rect"/>
                  </pic:spPr>
                </pic:pic>
              </a:graphicData>
            </a:graphic>
          </wp:inline>
        </w:drawing>
      </w:r>
    </w:p>
    <w:p>
      <w:pPr>
        <w:pStyle w:val="Caption"/>
        <w:jc w:val="center"/>
      </w:pPr>
      <w:r>
        <w:t>Figure 2. Frequency distribution of Borrowing Frequency</w:t>
      </w:r>
    </w:p>
    <w:p>
      <w:pPr>
        <w:pStyle w:val="Heading2"/>
      </w:pPr>
      <w:r>
        <w:t>5.2 Correlation</w:t>
      </w:r>
    </w:p>
    <w:p>
      <w:pPr>
        <w:jc w:val="both"/>
      </w:pPr>
      <w:r>
        <w:rPr>
          <w:b w:val="0"/>
          <w:i w:val="0"/>
        </w:rPr>
        <w:t>Borrowing Frequency and Recommendation Score are moderately positively correlated (r = 0.506, r² = 0.256). Books Borrowed (last 6 months) and Books Returned On Time are also moderately correlated (r = 0.501); because these are raw counts from a synthetic file, we interpret this only as a relationship between counts, not a return rate.</w:t>
      </w:r>
    </w:p>
    <w:p>
      <w:pPr>
        <w:pStyle w:val="Heading2"/>
      </w:pPr>
      <w:r>
        <w:t>5.3 Simple Linear Regression</w:t>
      </w:r>
    </w:p>
    <w:p>
      <w:pPr>
        <w:jc w:val="both"/>
      </w:pPr>
      <w:r>
        <w:rPr>
          <w:b w:val="0"/>
          <w:i w:val="0"/>
        </w:rPr>
        <w:t xml:space="preserve">Equation: </w:t>
      </w:r>
      <w:r>
        <w:rPr>
          <w:b/>
          <w:i w:val="0"/>
        </w:rPr>
        <w:t>Recommendation Score = 0.4823 + 0.003837 × Borrowing Frequency</w:t>
      </w:r>
      <w:r>
        <w:rPr>
          <w:b w:val="0"/>
          <w:i w:val="0"/>
        </w:rPr>
        <w:t>. R² = 0.256, and the slope is highly significant (p &lt; 0.001). A patron who borrows 10 times is predicted to score 0.52, and one who borrows 30 times is predicted to score 0.60. Because borrowing frequency explains only about a quarter of the variation, Section 7 extends the model to multiple predictors. Task 2.5 (time-series forecasting) was not applicable because the dataset has no dates; average borrowing frequency differs by less than 0.35 across the three semester periods.</w:t>
      </w:r>
    </w:p>
    <w:p>
      <w:pPr>
        <w:keepNext/>
        <w:spacing w:line="240" w:lineRule="auto"/>
        <w:jc w:val="center"/>
      </w:pPr>
      <w:r>
        <w:drawing>
          <wp:inline xmlns:a="http://schemas.openxmlformats.org/drawingml/2006/main" xmlns:pic="http://schemas.openxmlformats.org/drawingml/2006/picture">
            <wp:extent cx="4389120" cy="2973275"/>
            <wp:docPr id="3" name="Picture 3"/>
            <wp:cNvGraphicFramePr>
              <a:graphicFrameLocks noChangeAspect="1"/>
            </wp:cNvGraphicFramePr>
            <a:graphic>
              <a:graphicData uri="http://schemas.openxmlformats.org/drawingml/2006/picture">
                <pic:pic>
                  <pic:nvPicPr>
                    <pic:cNvPr id="0" name="cp4_simple_regression.png"/>
                    <pic:cNvPicPr/>
                  </pic:nvPicPr>
                  <pic:blipFill>
                    <a:blip r:embed="rId13"/>
                    <a:stretch>
                      <a:fillRect/>
                    </a:stretch>
                  </pic:blipFill>
                  <pic:spPr>
                    <a:xfrm>
                      <a:off x="0" y="0"/>
                      <a:ext cx="4389120" cy="2973275"/>
                    </a:xfrm>
                    <a:prstGeom prst="rect"/>
                  </pic:spPr>
                </pic:pic>
              </a:graphicData>
            </a:graphic>
          </wp:inline>
        </w:drawing>
      </w:r>
    </w:p>
    <w:p>
      <w:pPr>
        <w:pStyle w:val="Caption"/>
        <w:jc w:val="center"/>
      </w:pPr>
      <w:r>
        <w:t>Figure 3. Simple regression of Recommendation Score on Borrowing Frequency (Checkpoint 2)</w:t>
      </w:r>
    </w:p>
    <w:p>
      <w:r>
        <w:br w:type="page"/>
      </w:r>
    </w:p>
    <w:p>
      <w:pPr>
        <w:pStyle w:val="Heading1"/>
      </w:pPr>
      <w:r>
        <w:t>6. BI Dashboard Summary</w:t>
      </w:r>
    </w:p>
    <w:p>
      <w:pPr>
        <w:jc w:val="both"/>
      </w:pPr>
      <w:r>
        <w:rPr>
          <w:b w:val="0"/>
          <w:i w:val="0"/>
        </w:rPr>
        <w:t>The Power BI dashboard (PowerBI/LIBRARY_ANALYTICS_DASHBOARD.pbix, 1280 × 720) has three pages linked by page-navigation buttons. Four dropdown slicers (User Type, Department, Semester Period, Segment) are synchronized across all pages, and every visual cross-filters when clicked. Seven DAX measures drive the KPIs. All values reconcile to the SQL and Excel results: 12,000 patrons, 0.556 average recommendation score, 16.1% irregular rate, 18.5% cold-start share and 94.3 minutes average reading duration.</w:t>
      </w:r>
    </w:p>
    <w:p>
      <w:pPr>
        <w:pStyle w:val="Heading2"/>
      </w:pPr>
      <w:r>
        <w:t>6.1 Page 1 — Executive Summary</w:t>
      </w:r>
    </w:p>
    <w:p>
      <w:pPr>
        <w:keepNext/>
        <w:spacing w:line="240" w:lineRule="auto"/>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cp4_dash_page1.png"/>
                    <pic:cNvPicPr/>
                  </pic:nvPicPr>
                  <pic:blipFill>
                    <a:blip r:embed="rId14"/>
                    <a:stretch>
                      <a:fillRect/>
                    </a:stretch>
                  </pic:blipFill>
                  <pic:spPr>
                    <a:xfrm>
                      <a:off x="0" y="0"/>
                      <a:ext cx="5943600" cy="3343275"/>
                    </a:xfrm>
                    <a:prstGeom prst="rect"/>
                  </pic:spPr>
                </pic:pic>
              </a:graphicData>
            </a:graphic>
          </wp:inline>
        </w:drawing>
      </w:r>
    </w:p>
    <w:p>
      <w:pPr>
        <w:pStyle w:val="Caption"/>
        <w:jc w:val="center"/>
      </w:pPr>
      <w:r>
        <w:t>Figure 4. Dashboard Page 1: KPI cards, patrons by user type, score by patron status, irregular rate by department</w:t>
      </w:r>
    </w:p>
    <w:p>
      <w:pPr>
        <w:jc w:val="both"/>
      </w:pPr>
      <w:r>
        <w:rPr>
          <w:b w:val="0"/>
          <w:i w:val="0"/>
        </w:rPr>
        <w:t>Page 1 gives a one-glance health check. The cold-start versus established chart makes the BQ3 gap visible immediately (0.478 versus 0.574), and the department bar shows the narrow 14.9%–17.1% irregular-rate spread.</w:t>
      </w:r>
    </w:p>
    <w:p>
      <w:pPr>
        <w:pStyle w:val="Heading2"/>
      </w:pPr>
      <w:r>
        <w:t>6.2 Page 2 — Trend and Comparison Analysis</w:t>
      </w:r>
    </w:p>
    <w:p>
      <w:pPr>
        <w:keepNext/>
        <w:spacing w:line="240" w:lineRule="auto"/>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cp4_dash_page2.png"/>
                    <pic:cNvPicPr/>
                  </pic:nvPicPr>
                  <pic:blipFill>
                    <a:blip r:embed="rId15"/>
                    <a:stretch>
                      <a:fillRect/>
                    </a:stretch>
                  </pic:blipFill>
                  <pic:spPr>
                    <a:xfrm>
                      <a:off x="0" y="0"/>
                      <a:ext cx="5943600" cy="3343275"/>
                    </a:xfrm>
                    <a:prstGeom prst="rect"/>
                  </pic:spPr>
                </pic:pic>
              </a:graphicData>
            </a:graphic>
          </wp:inline>
        </w:drawing>
      </w:r>
    </w:p>
    <w:p>
      <w:pPr>
        <w:pStyle w:val="Caption"/>
        <w:jc w:val="center"/>
      </w:pPr>
      <w:r>
        <w:t>Figure 5. Dashboard Page 2: score by borrowing frequency, category comparison, category × user type matrix, format mix</w:t>
      </w:r>
    </w:p>
    <w:p>
      <w:pPr>
        <w:jc w:val="both"/>
      </w:pPr>
      <w:r>
        <w:rPr>
          <w:b w:val="0"/>
          <w:i w:val="0"/>
        </w:rPr>
        <w:t>Page 2 shows recommendation score rising steadily with borrowing frequency, nearly flat engagement across categories, and an even format and interaction mix, which supports the finding that format and patron type are not demand drivers.</w:t>
      </w:r>
    </w:p>
    <w:p>
      <w:pPr>
        <w:pStyle w:val="Heading2"/>
      </w:pPr>
      <w:r>
        <w:t>6.3 Page 3 — Segmentation Deep Dive</w:t>
      </w:r>
    </w:p>
    <w:p>
      <w:pPr>
        <w:keepNext/>
        <w:spacing w:line="240" w:lineRule="auto"/>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cp4_dash_page3.png"/>
                    <pic:cNvPicPr/>
                  </pic:nvPicPr>
                  <pic:blipFill>
                    <a:blip r:embed="rId16"/>
                    <a:stretch>
                      <a:fillRect/>
                    </a:stretch>
                  </pic:blipFill>
                  <pic:spPr>
                    <a:xfrm>
                      <a:off x="0" y="0"/>
                      <a:ext cx="5943600" cy="3343275"/>
                    </a:xfrm>
                    <a:prstGeom prst="rect"/>
                  </pic:spPr>
                </pic:pic>
              </a:graphicData>
            </a:graphic>
          </wp:inline>
        </w:drawing>
      </w:r>
    </w:p>
    <w:p>
      <w:pPr>
        <w:pStyle w:val="Caption"/>
        <w:jc w:val="center"/>
      </w:pPr>
      <w:r>
        <w:t>Figure 6. Dashboard Page 3: K-Means segments, segment share, segment recommendation score and profile table</w:t>
      </w:r>
    </w:p>
    <w:p>
      <w:pPr>
        <w:pStyle w:val="Heading2"/>
      </w:pPr>
      <w:r>
        <w:t>6.4 Segmentation Findings</w:t>
      </w:r>
    </w:p>
    <w:p>
      <w:pPr>
        <w:jc w:val="both"/>
      </w:pPr>
      <w:r>
        <w:rPr>
          <w:b w:val="0"/>
          <w:i w:val="0"/>
        </w:rPr>
        <w:t>K-Means (k = 4, chosen using the elbow and silhouette charts) on standardized Borrowing Frequency and Reading Duration produced four named segments.</w:t>
      </w:r>
    </w:p>
    <w:p>
      <w:pPr>
        <w:pStyle w:val="Caption"/>
        <w:keepNext/>
      </w:pPr>
      <w:r>
        <w:t>Table 5. Patron segment profiles</w:t>
      </w:r>
    </w:p>
    <w:tbl>
      <w:tblPr>
        <w:tblStyle w:val="TableGrid"/>
        <w:tblW w:type="auto" w:w="0"/>
        <w:jc w:val="center"/>
        <w:tblLayout w:type="fixed"/>
        <w:tblLook w:firstColumn="1" w:firstRow="1" w:lastColumn="0" w:lastRow="0" w:noHBand="0" w:noVBand="1" w:val="04A0"/>
      </w:tblPr>
      <w:tblGrid>
        <w:gridCol w:w="2736"/>
        <w:gridCol w:w="1584"/>
        <w:gridCol w:w="1296"/>
        <w:gridCol w:w="1296"/>
        <w:gridCol w:w="1296"/>
        <w:gridCol w:w="1152"/>
      </w:tblGrid>
      <w:tr>
        <w:trPr>
          <w:tblHeader w:val="true"/>
          <w:cantSplit/>
        </w:trPr>
        <w:tc>
          <w:tcPr>
            <w:tcW w:type="dxa" w:w="2736"/>
            <w:shd w:val="clear" w:color="auto" w:fill="1F4E79"/>
          </w:tcPr>
          <w:p>
            <w:pPr>
              <w:spacing w:line="240" w:lineRule="auto" w:after="40"/>
            </w:pPr>
            <w:r/>
            <w:r>
              <w:rPr>
                <w:b/>
                <w:color w:val="FFFFFF"/>
                <w:sz w:val="18"/>
              </w:rPr>
              <w:t>Segment</w:t>
            </w:r>
          </w:p>
        </w:tc>
        <w:tc>
          <w:tcPr>
            <w:tcW w:type="dxa" w:w="1584"/>
            <w:shd w:val="clear" w:color="auto" w:fill="1F4E79"/>
          </w:tcPr>
          <w:p>
            <w:pPr>
              <w:spacing w:line="240" w:lineRule="auto" w:after="40"/>
            </w:pPr>
            <w:r/>
            <w:r>
              <w:rPr>
                <w:b/>
                <w:color w:val="FFFFFF"/>
                <w:sz w:val="18"/>
              </w:rPr>
              <w:t>Patrons</w:t>
            </w:r>
          </w:p>
        </w:tc>
        <w:tc>
          <w:tcPr>
            <w:tcW w:type="dxa" w:w="1296"/>
            <w:shd w:val="clear" w:color="auto" w:fill="1F4E79"/>
          </w:tcPr>
          <w:p>
            <w:pPr>
              <w:spacing w:line="240" w:lineRule="auto" w:after="40"/>
            </w:pPr>
            <w:r/>
            <w:r>
              <w:rPr>
                <w:b/>
                <w:color w:val="FFFFFF"/>
                <w:sz w:val="18"/>
              </w:rPr>
              <w:t>Avg borrow freq</w:t>
            </w:r>
          </w:p>
        </w:tc>
        <w:tc>
          <w:tcPr>
            <w:tcW w:type="dxa" w:w="1296"/>
            <w:shd w:val="clear" w:color="auto" w:fill="1F4E79"/>
          </w:tcPr>
          <w:p>
            <w:pPr>
              <w:spacing w:line="240" w:lineRule="auto" w:after="40"/>
            </w:pPr>
            <w:r/>
            <w:r>
              <w:rPr>
                <w:b/>
                <w:color w:val="FFFFFF"/>
                <w:sz w:val="18"/>
              </w:rPr>
              <w:t>Avg reading (min)</w:t>
            </w:r>
          </w:p>
        </w:tc>
        <w:tc>
          <w:tcPr>
            <w:tcW w:type="dxa" w:w="1296"/>
            <w:shd w:val="clear" w:color="auto" w:fill="1F4E79"/>
          </w:tcPr>
          <w:p>
            <w:pPr>
              <w:spacing w:line="240" w:lineRule="auto" w:after="40"/>
            </w:pPr>
            <w:r/>
            <w:r>
              <w:rPr>
                <w:b/>
                <w:color w:val="FFFFFF"/>
                <w:sz w:val="18"/>
              </w:rPr>
              <w:t>Avg rec. score</w:t>
            </w:r>
          </w:p>
        </w:tc>
        <w:tc>
          <w:tcPr>
            <w:tcW w:type="dxa" w:w="1152"/>
            <w:shd w:val="clear" w:color="auto" w:fill="1F4E79"/>
          </w:tcPr>
          <w:p>
            <w:pPr>
              <w:spacing w:line="240" w:lineRule="auto" w:after="40"/>
            </w:pPr>
            <w:r/>
            <w:r>
              <w:rPr>
                <w:b/>
                <w:color w:val="FFFFFF"/>
                <w:sz w:val="18"/>
              </w:rPr>
              <w:t>Cold-start %</w:t>
            </w:r>
          </w:p>
        </w:tc>
      </w:tr>
      <w:tr>
        <w:trPr>
          <w:cantSplit/>
        </w:trPr>
        <w:tc>
          <w:tcPr>
            <w:tcW w:type="dxa" w:w="2736"/>
          </w:tcPr>
          <w:p>
            <w:pPr>
              <w:spacing w:line="240" w:lineRule="auto" w:after="40"/>
            </w:pPr>
            <w:r/>
            <w:r>
              <w:rPr>
                <w:sz w:val="18"/>
              </w:rPr>
              <w:t>Devoted Readers</w:t>
            </w:r>
          </w:p>
        </w:tc>
        <w:tc>
          <w:tcPr>
            <w:tcW w:type="dxa" w:w="1584"/>
          </w:tcPr>
          <w:p>
            <w:pPr>
              <w:spacing w:line="240" w:lineRule="auto" w:after="40"/>
            </w:pPr>
            <w:r/>
            <w:r>
              <w:rPr>
                <w:sz w:val="18"/>
              </w:rPr>
              <w:t>2,760 (23%)</w:t>
            </w:r>
          </w:p>
        </w:tc>
        <w:tc>
          <w:tcPr>
            <w:tcW w:type="dxa" w:w="1296"/>
          </w:tcPr>
          <w:p>
            <w:pPr>
              <w:spacing w:line="240" w:lineRule="auto" w:after="40"/>
            </w:pPr>
            <w:r/>
            <w:r>
              <w:rPr>
                <w:sz w:val="18"/>
              </w:rPr>
              <w:t>33.0</w:t>
            </w:r>
          </w:p>
        </w:tc>
        <w:tc>
          <w:tcPr>
            <w:tcW w:type="dxa" w:w="1296"/>
          </w:tcPr>
          <w:p>
            <w:pPr>
              <w:spacing w:line="240" w:lineRule="auto" w:after="40"/>
            </w:pPr>
            <w:r/>
            <w:r>
              <w:rPr>
                <w:sz w:val="18"/>
              </w:rPr>
              <w:t>136.6</w:t>
            </w:r>
          </w:p>
        </w:tc>
        <w:tc>
          <w:tcPr>
            <w:tcW w:type="dxa" w:w="1296"/>
          </w:tcPr>
          <w:p>
            <w:pPr>
              <w:spacing w:line="240" w:lineRule="auto" w:after="40"/>
            </w:pPr>
            <w:r/>
            <w:r>
              <w:rPr>
                <w:sz w:val="18"/>
              </w:rPr>
              <w:t>0.641</w:t>
            </w:r>
          </w:p>
        </w:tc>
        <w:tc>
          <w:tcPr>
            <w:tcW w:type="dxa" w:w="1152"/>
          </w:tcPr>
          <w:p>
            <w:pPr>
              <w:spacing w:line="240" w:lineRule="auto" w:after="40"/>
            </w:pPr>
            <w:r/>
            <w:r>
              <w:rPr>
                <w:sz w:val="18"/>
              </w:rPr>
              <w:t>0.0%</w:t>
            </w:r>
          </w:p>
        </w:tc>
      </w:tr>
      <w:tr>
        <w:trPr>
          <w:cantSplit/>
        </w:trPr>
        <w:tc>
          <w:tcPr>
            <w:tcW w:type="dxa" w:w="2736"/>
          </w:tcPr>
          <w:p>
            <w:pPr>
              <w:spacing w:line="240" w:lineRule="auto" w:after="40"/>
            </w:pPr>
            <w:r/>
            <w:r>
              <w:rPr>
                <w:sz w:val="18"/>
              </w:rPr>
              <w:t>Quick Borrowers</w:t>
            </w:r>
          </w:p>
        </w:tc>
        <w:tc>
          <w:tcPr>
            <w:tcW w:type="dxa" w:w="1584"/>
          </w:tcPr>
          <w:p>
            <w:pPr>
              <w:spacing w:line="240" w:lineRule="auto" w:after="40"/>
            </w:pPr>
            <w:r/>
            <w:r>
              <w:rPr>
                <w:sz w:val="18"/>
              </w:rPr>
              <w:t>2,665 (22%)</w:t>
            </w:r>
          </w:p>
        </w:tc>
        <w:tc>
          <w:tcPr>
            <w:tcW w:type="dxa" w:w="1296"/>
          </w:tcPr>
          <w:p>
            <w:pPr>
              <w:spacing w:line="240" w:lineRule="auto" w:after="40"/>
            </w:pPr>
            <w:r/>
            <w:r>
              <w:rPr>
                <w:sz w:val="18"/>
              </w:rPr>
              <w:t>32.9</w:t>
            </w:r>
          </w:p>
        </w:tc>
        <w:tc>
          <w:tcPr>
            <w:tcW w:type="dxa" w:w="1296"/>
          </w:tcPr>
          <w:p>
            <w:pPr>
              <w:spacing w:line="240" w:lineRule="auto" w:after="40"/>
            </w:pPr>
            <w:r/>
            <w:r>
              <w:rPr>
                <w:sz w:val="18"/>
              </w:rPr>
              <w:t>51.0</w:t>
            </w:r>
          </w:p>
        </w:tc>
        <w:tc>
          <w:tcPr>
            <w:tcW w:type="dxa" w:w="1296"/>
          </w:tcPr>
          <w:p>
            <w:pPr>
              <w:spacing w:line="240" w:lineRule="auto" w:after="40"/>
            </w:pPr>
            <w:r/>
            <w:r>
              <w:rPr>
                <w:sz w:val="18"/>
              </w:rPr>
              <w:t>0.575</w:t>
            </w:r>
          </w:p>
        </w:tc>
        <w:tc>
          <w:tcPr>
            <w:tcW w:type="dxa" w:w="1152"/>
          </w:tcPr>
          <w:p>
            <w:pPr>
              <w:spacing w:line="240" w:lineRule="auto" w:after="40"/>
            </w:pPr>
            <w:r/>
            <w:r>
              <w:rPr>
                <w:sz w:val="18"/>
              </w:rPr>
              <w:t>0.0%</w:t>
            </w:r>
          </w:p>
        </w:tc>
      </w:tr>
      <w:tr>
        <w:trPr>
          <w:cantSplit/>
        </w:trPr>
        <w:tc>
          <w:tcPr>
            <w:tcW w:type="dxa" w:w="2736"/>
          </w:tcPr>
          <w:p>
            <w:pPr>
              <w:spacing w:line="240" w:lineRule="auto" w:after="40"/>
            </w:pPr>
            <w:r/>
            <w:r>
              <w:rPr>
                <w:sz w:val="18"/>
              </w:rPr>
              <w:t>Occasional Deep Readers</w:t>
            </w:r>
          </w:p>
        </w:tc>
        <w:tc>
          <w:tcPr>
            <w:tcW w:type="dxa" w:w="1584"/>
          </w:tcPr>
          <w:p>
            <w:pPr>
              <w:spacing w:line="240" w:lineRule="auto" w:after="40"/>
            </w:pPr>
            <w:r/>
            <w:r>
              <w:rPr>
                <w:sz w:val="18"/>
              </w:rPr>
              <w:t>3,290 (27%)</w:t>
            </w:r>
          </w:p>
        </w:tc>
        <w:tc>
          <w:tcPr>
            <w:tcW w:type="dxa" w:w="1296"/>
          </w:tcPr>
          <w:p>
            <w:pPr>
              <w:spacing w:line="240" w:lineRule="auto" w:after="40"/>
            </w:pPr>
            <w:r/>
            <w:r>
              <w:rPr>
                <w:sz w:val="18"/>
              </w:rPr>
              <w:t>8.0</w:t>
            </w:r>
          </w:p>
        </w:tc>
        <w:tc>
          <w:tcPr>
            <w:tcW w:type="dxa" w:w="1296"/>
          </w:tcPr>
          <w:p>
            <w:pPr>
              <w:spacing w:line="240" w:lineRule="auto" w:after="40"/>
            </w:pPr>
            <w:r/>
            <w:r>
              <w:rPr>
                <w:sz w:val="18"/>
              </w:rPr>
              <w:t>138.1</w:t>
            </w:r>
          </w:p>
        </w:tc>
        <w:tc>
          <w:tcPr>
            <w:tcW w:type="dxa" w:w="1296"/>
          </w:tcPr>
          <w:p>
            <w:pPr>
              <w:spacing w:line="240" w:lineRule="auto" w:after="40"/>
            </w:pPr>
            <w:r/>
            <w:r>
              <w:rPr>
                <w:sz w:val="18"/>
              </w:rPr>
              <w:t>0.547</w:t>
            </w:r>
          </w:p>
        </w:tc>
        <w:tc>
          <w:tcPr>
            <w:tcW w:type="dxa" w:w="1152"/>
          </w:tcPr>
          <w:p>
            <w:pPr>
              <w:spacing w:line="240" w:lineRule="auto" w:after="40"/>
            </w:pPr>
            <w:r/>
            <w:r>
              <w:rPr>
                <w:sz w:val="18"/>
              </w:rPr>
              <w:t>33.6%</w:t>
            </w:r>
          </w:p>
        </w:tc>
      </w:tr>
      <w:tr>
        <w:trPr>
          <w:cantSplit/>
        </w:trPr>
        <w:tc>
          <w:tcPr>
            <w:tcW w:type="dxa" w:w="2736"/>
          </w:tcPr>
          <w:p>
            <w:pPr>
              <w:spacing w:line="240" w:lineRule="auto" w:after="40"/>
            </w:pPr>
            <w:r/>
            <w:r>
              <w:rPr>
                <w:sz w:val="18"/>
              </w:rPr>
              <w:t>Casual / At-Risk Patrons</w:t>
            </w:r>
          </w:p>
        </w:tc>
        <w:tc>
          <w:tcPr>
            <w:tcW w:type="dxa" w:w="1584"/>
          </w:tcPr>
          <w:p>
            <w:pPr>
              <w:spacing w:line="240" w:lineRule="auto" w:after="40"/>
            </w:pPr>
            <w:r/>
            <w:r>
              <w:rPr>
                <w:sz w:val="18"/>
              </w:rPr>
              <w:t>3,285 (27%)</w:t>
            </w:r>
          </w:p>
        </w:tc>
        <w:tc>
          <w:tcPr>
            <w:tcW w:type="dxa" w:w="1296"/>
          </w:tcPr>
          <w:p>
            <w:pPr>
              <w:spacing w:line="240" w:lineRule="auto" w:after="40"/>
            </w:pPr>
            <w:r/>
            <w:r>
              <w:rPr>
                <w:sz w:val="18"/>
              </w:rPr>
              <w:t>7.8</w:t>
            </w:r>
          </w:p>
        </w:tc>
        <w:tc>
          <w:tcPr>
            <w:tcW w:type="dxa" w:w="1296"/>
          </w:tcPr>
          <w:p>
            <w:pPr>
              <w:spacing w:line="240" w:lineRule="auto" w:after="40"/>
            </w:pPr>
            <w:r/>
            <w:r>
              <w:rPr>
                <w:sz w:val="18"/>
              </w:rPr>
              <w:t>50.0</w:t>
            </w:r>
          </w:p>
        </w:tc>
        <w:tc>
          <w:tcPr>
            <w:tcW w:type="dxa" w:w="1296"/>
          </w:tcPr>
          <w:p>
            <w:pPr>
              <w:spacing w:line="240" w:lineRule="auto" w:after="40"/>
            </w:pPr>
            <w:r/>
            <w:r>
              <w:rPr>
                <w:sz w:val="18"/>
              </w:rPr>
              <w:t>0.478</w:t>
            </w:r>
          </w:p>
        </w:tc>
        <w:tc>
          <w:tcPr>
            <w:tcW w:type="dxa" w:w="1152"/>
          </w:tcPr>
          <w:p>
            <w:pPr>
              <w:spacing w:line="240" w:lineRule="auto" w:after="40"/>
            </w:pPr>
            <w:r/>
            <w:r>
              <w:rPr>
                <w:sz w:val="18"/>
              </w:rPr>
              <w:t>33.9%</w:t>
            </w:r>
          </w:p>
        </w:tc>
      </w:tr>
    </w:tbl>
    <w:p>
      <w:pPr>
        <w:spacing w:after="40"/>
      </w:pPr>
    </w:p>
    <w:p>
      <w:pPr>
        <w:pStyle w:val="ListBullet"/>
        <w:spacing w:line="360" w:lineRule="auto"/>
      </w:pPr>
      <w:r>
        <w:rPr>
          <w:b/>
        </w:rPr>
        <w:t>Devoted Readers:</w:t>
      </w:r>
      <w:r>
        <w:rPr>
          <w:b w:val="0"/>
        </w:rPr>
        <w:t xml:space="preserve"> borrow often and read long; best recommendation scores (0.641). Retain and use as ambassadors.</w:t>
      </w:r>
    </w:p>
    <w:p>
      <w:pPr>
        <w:pStyle w:val="ListBullet"/>
        <w:spacing w:line="360" w:lineRule="auto"/>
      </w:pPr>
      <w:r>
        <w:rPr>
          <w:b/>
        </w:rPr>
        <w:t>Quick Borrowers:</w:t>
      </w:r>
      <w:r>
        <w:rPr>
          <w:b w:val="0"/>
        </w:rPr>
        <w:t xml:space="preserve"> borrow often but read briefly (51 min). The opportunity is deeper engagement through better-matched titles.</w:t>
      </w:r>
    </w:p>
    <w:p>
      <w:pPr>
        <w:pStyle w:val="ListBullet"/>
        <w:spacing w:line="360" w:lineRule="auto"/>
      </w:pPr>
      <w:r>
        <w:rPr>
          <w:b/>
        </w:rPr>
        <w:t>Occasional Deep Readers:</w:t>
      </w:r>
      <w:r>
        <w:rPr>
          <w:b w:val="0"/>
        </w:rPr>
        <w:t xml:space="preserve"> read long (138 min) but borrow rarely (8). They are engaged but under-circulated; a third are cold-start.</w:t>
      </w:r>
    </w:p>
    <w:p>
      <w:pPr>
        <w:pStyle w:val="ListBullet"/>
        <w:spacing w:line="360" w:lineRule="auto"/>
      </w:pPr>
      <w:r>
        <w:rPr>
          <w:b/>
        </w:rPr>
        <w:t>Casual / At-Risk Patrons:</w:t>
      </w:r>
      <w:r>
        <w:rPr>
          <w:b w:val="0"/>
        </w:rPr>
        <w:t xml:space="preserve"> low borrowing and short reading, lowest score (0.478). They are the main onboarding and retention target.</w:t>
      </w:r>
    </w:p>
    <w:p>
      <w:pPr>
        <w:jc w:val="both"/>
      </w:pPr>
      <w:r>
        <w:rPr>
          <w:b w:val="0"/>
          <w:i w:val="0"/>
        </w:rPr>
        <w:t>Because the two features are close to uniformly distributed, the segments are a practical way to group patrons rather than naturally separated clusters; we use them for targeting, not as proof of distinct patron “types”.</w:t>
      </w:r>
    </w:p>
    <w:p>
      <w:r>
        <w:br w:type="page"/>
      </w:r>
    </w:p>
    <w:p>
      <w:pPr>
        <w:pStyle w:val="Heading1"/>
      </w:pPr>
      <w:r>
        <w:t>7. Predictive Analytics</w:t>
      </w:r>
    </w:p>
    <w:p>
      <w:pPr>
        <w:pStyle w:val="Heading2"/>
      </w:pPr>
      <w:r>
        <w:t>7.1 Approach</w:t>
      </w:r>
    </w:p>
    <w:p>
      <w:pPr>
        <w:jc w:val="both"/>
      </w:pPr>
      <w:r>
        <w:rPr>
          <w:b w:val="0"/>
          <w:i w:val="0"/>
        </w:rPr>
        <w:t>Building on the simple regression, we applied two techniques (Python, pandas / scikit-learn / statsmodels, per the guide's allowance for approved Python use; script: Python/checkpoint4_predictive.py). Data were split 70% training (8,400 rows) and 30% test (3,600 rows) with a fixed random seed, so all performance figures below come from data the model never saw.</w:t>
      </w:r>
    </w:p>
    <w:p>
      <w:pPr>
        <w:pStyle w:val="ListBullet"/>
        <w:spacing w:line="360" w:lineRule="auto"/>
      </w:pPr>
      <w:r>
        <w:rPr>
          <w:b/>
        </w:rPr>
        <w:t>Model A — Multiple linear regression.</w:t>
      </w:r>
      <w:r>
        <w:rPr>
          <w:b w:val="0"/>
        </w:rPr>
        <w:t xml:space="preserve"> Output (Y): Recommendation Score (0–1). Predictors (13): Borrowing Frequency, Reading Duration, Reading Interest Score, Metadata Match Score, User–Book Similarity, Book Popularity, Renewal Count, Book View Count, Reservation Count, User Rating, Books Borrowed (6 months), Search Count and the Cold-Start flag.</w:t>
      </w:r>
    </w:p>
    <w:p>
      <w:pPr>
        <w:pStyle w:val="ListBullet"/>
        <w:spacing w:line="360" w:lineRule="auto"/>
      </w:pPr>
      <w:r>
        <w:rPr>
          <w:b/>
        </w:rPr>
        <w:t>Model B — Logistic regression.</w:t>
      </w:r>
      <w:r>
        <w:rPr>
          <w:b w:val="0"/>
        </w:rPr>
        <w:t xml:space="preserve"> Output: whether an event receives a Low Recommendation (score below 0.45; 16.2% of events). Used as an early-warning classifier.</w:t>
      </w:r>
    </w:p>
    <w:p>
      <w:pPr>
        <w:pStyle w:val="Heading2"/>
      </w:pPr>
      <w:r>
        <w:t>7.2 Model A Results</w:t>
      </w:r>
    </w:p>
    <w:p>
      <w:pPr>
        <w:pStyle w:val="Caption"/>
        <w:keepNext/>
      </w:pPr>
      <w:r>
        <w:t>Table 6. Multiple regression coefficients (training set), sorted by standardized importance</w:t>
      </w:r>
    </w:p>
    <w:tbl>
      <w:tblPr>
        <w:tblStyle w:val="TableGrid"/>
        <w:tblW w:type="auto" w:w="0"/>
        <w:jc w:val="center"/>
        <w:tblLayout w:type="fixed"/>
        <w:tblLook w:firstColumn="1" w:firstRow="1" w:lastColumn="0" w:lastRow="0" w:noHBand="0" w:noVBand="1" w:val="04A0"/>
      </w:tblPr>
      <w:tblGrid>
        <w:gridCol w:w="4032"/>
        <w:gridCol w:w="2016"/>
        <w:gridCol w:w="1584"/>
        <w:gridCol w:w="1584"/>
      </w:tblGrid>
      <w:tr>
        <w:trPr>
          <w:tblHeader w:val="true"/>
          <w:cantSplit/>
        </w:trPr>
        <w:tc>
          <w:tcPr>
            <w:tcW w:type="dxa" w:w="4032"/>
            <w:shd w:val="clear" w:color="auto" w:fill="1F4E79"/>
          </w:tcPr>
          <w:p>
            <w:pPr>
              <w:spacing w:line="240" w:lineRule="auto" w:after="40"/>
            </w:pPr>
            <w:r/>
            <w:r>
              <w:rPr>
                <w:b/>
                <w:color w:val="FFFFFF"/>
                <w:sz w:val="18"/>
              </w:rPr>
              <w:t>Predictor</w:t>
            </w:r>
          </w:p>
        </w:tc>
        <w:tc>
          <w:tcPr>
            <w:tcW w:type="dxa" w:w="2016"/>
            <w:shd w:val="clear" w:color="auto" w:fill="1F4E79"/>
          </w:tcPr>
          <w:p>
            <w:pPr>
              <w:spacing w:line="240" w:lineRule="auto" w:after="40"/>
            </w:pPr>
            <w:r/>
            <w:r>
              <w:rPr>
                <w:b/>
                <w:color w:val="FFFFFF"/>
                <w:sz w:val="18"/>
              </w:rPr>
              <w:t>Coefficient (b)</w:t>
            </w:r>
          </w:p>
        </w:tc>
        <w:tc>
          <w:tcPr>
            <w:tcW w:type="dxa" w:w="1584"/>
            <w:shd w:val="clear" w:color="auto" w:fill="1F4E79"/>
          </w:tcPr>
          <w:p>
            <w:pPr>
              <w:spacing w:line="240" w:lineRule="auto" w:after="40"/>
            </w:pPr>
            <w:r/>
            <w:r>
              <w:rPr>
                <w:b/>
                <w:color w:val="FFFFFF"/>
                <w:sz w:val="18"/>
              </w:rPr>
              <w:t>Std. beta</w:t>
            </w:r>
          </w:p>
        </w:tc>
        <w:tc>
          <w:tcPr>
            <w:tcW w:type="dxa" w:w="1584"/>
            <w:shd w:val="clear" w:color="auto" w:fill="1F4E79"/>
          </w:tcPr>
          <w:p>
            <w:pPr>
              <w:spacing w:line="240" w:lineRule="auto" w:after="40"/>
            </w:pPr>
            <w:r/>
            <w:r>
              <w:rPr>
                <w:b/>
                <w:color w:val="FFFFFF"/>
                <w:sz w:val="18"/>
              </w:rPr>
              <w:t>p-value</w:t>
            </w:r>
          </w:p>
        </w:tc>
      </w:tr>
      <w:tr>
        <w:trPr>
          <w:cantSplit/>
        </w:trPr>
        <w:tc>
          <w:tcPr>
            <w:tcW w:type="dxa" w:w="4032"/>
          </w:tcPr>
          <w:p>
            <w:pPr>
              <w:spacing w:line="240" w:lineRule="auto" w:after="40"/>
            </w:pPr>
            <w:r/>
            <w:r>
              <w:rPr>
                <w:sz w:val="18"/>
              </w:rPr>
              <w:t>Borrowing Frequency</w:t>
            </w:r>
          </w:p>
        </w:tc>
        <w:tc>
          <w:tcPr>
            <w:tcW w:type="dxa" w:w="2016"/>
          </w:tcPr>
          <w:p>
            <w:pPr>
              <w:spacing w:line="240" w:lineRule="auto" w:after="40"/>
            </w:pPr>
            <w:r/>
            <w:r>
              <w:rPr>
                <w:sz w:val="18"/>
              </w:rPr>
              <w:t>0.00353</w:t>
            </w:r>
          </w:p>
        </w:tc>
        <w:tc>
          <w:tcPr>
            <w:tcW w:type="dxa" w:w="1584"/>
          </w:tcPr>
          <w:p>
            <w:pPr>
              <w:spacing w:line="240" w:lineRule="auto" w:after="40"/>
            </w:pPr>
            <w:r/>
            <w:r>
              <w:rPr>
                <w:sz w:val="18"/>
              </w:rPr>
              <w:t>0.463</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Reading Duration Minutes</w:t>
            </w:r>
          </w:p>
        </w:tc>
        <w:tc>
          <w:tcPr>
            <w:tcW w:type="dxa" w:w="2016"/>
          </w:tcPr>
          <w:p>
            <w:pPr>
              <w:spacing w:line="240" w:lineRule="auto" w:after="40"/>
            </w:pPr>
            <w:r/>
            <w:r>
              <w:rPr>
                <w:sz w:val="18"/>
              </w:rPr>
              <w:t>0.00073</w:t>
            </w:r>
          </w:p>
        </w:tc>
        <w:tc>
          <w:tcPr>
            <w:tcW w:type="dxa" w:w="1584"/>
          </w:tcPr>
          <w:p>
            <w:pPr>
              <w:spacing w:line="240" w:lineRule="auto" w:after="40"/>
            </w:pPr>
            <w:r/>
            <w:r>
              <w:rPr>
                <w:sz w:val="18"/>
              </w:rPr>
              <w:t>0.338</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Book View Count</w:t>
            </w:r>
          </w:p>
        </w:tc>
        <w:tc>
          <w:tcPr>
            <w:tcW w:type="dxa" w:w="2016"/>
          </w:tcPr>
          <w:p>
            <w:pPr>
              <w:spacing w:line="240" w:lineRule="auto" w:after="40"/>
            </w:pPr>
            <w:r/>
            <w:r>
              <w:rPr>
                <w:sz w:val="18"/>
              </w:rPr>
              <w:t>0.00093</w:t>
            </w:r>
          </w:p>
        </w:tc>
        <w:tc>
          <w:tcPr>
            <w:tcW w:type="dxa" w:w="1584"/>
          </w:tcPr>
          <w:p>
            <w:pPr>
              <w:spacing w:line="240" w:lineRule="auto" w:after="40"/>
            </w:pPr>
            <w:r/>
            <w:r>
              <w:rPr>
                <w:sz w:val="18"/>
              </w:rPr>
              <w:t>0.299</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Renewal Count</w:t>
            </w:r>
          </w:p>
        </w:tc>
        <w:tc>
          <w:tcPr>
            <w:tcW w:type="dxa" w:w="2016"/>
          </w:tcPr>
          <w:p>
            <w:pPr>
              <w:spacing w:line="240" w:lineRule="auto" w:after="40"/>
            </w:pPr>
            <w:r/>
            <w:r>
              <w:rPr>
                <w:sz w:val="18"/>
              </w:rPr>
              <w:t>0.00666</w:t>
            </w:r>
          </w:p>
        </w:tc>
        <w:tc>
          <w:tcPr>
            <w:tcW w:type="dxa" w:w="1584"/>
          </w:tcPr>
          <w:p>
            <w:pPr>
              <w:spacing w:line="240" w:lineRule="auto" w:after="40"/>
            </w:pPr>
            <w:r/>
            <w:r>
              <w:rPr>
                <w:sz w:val="18"/>
              </w:rPr>
              <w:t>0.285</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Metadata Match Score</w:t>
            </w:r>
          </w:p>
        </w:tc>
        <w:tc>
          <w:tcPr>
            <w:tcW w:type="dxa" w:w="2016"/>
          </w:tcPr>
          <w:p>
            <w:pPr>
              <w:spacing w:line="240" w:lineRule="auto" w:after="40"/>
            </w:pPr>
            <w:r/>
            <w:r>
              <w:rPr>
                <w:sz w:val="18"/>
              </w:rPr>
              <w:t>0.10891</w:t>
            </w:r>
          </w:p>
        </w:tc>
        <w:tc>
          <w:tcPr>
            <w:tcW w:type="dxa" w:w="1584"/>
          </w:tcPr>
          <w:p>
            <w:pPr>
              <w:spacing w:line="240" w:lineRule="auto" w:after="40"/>
            </w:pPr>
            <w:r/>
            <w:r>
              <w:rPr>
                <w:sz w:val="18"/>
              </w:rPr>
              <w:t>0.262</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User Rating</w:t>
            </w:r>
          </w:p>
        </w:tc>
        <w:tc>
          <w:tcPr>
            <w:tcW w:type="dxa" w:w="2016"/>
          </w:tcPr>
          <w:p>
            <w:pPr>
              <w:spacing w:line="240" w:lineRule="auto" w:after="40"/>
            </w:pPr>
            <w:r/>
            <w:r>
              <w:rPr>
                <w:sz w:val="18"/>
              </w:rPr>
              <w:t>0.02439</w:t>
            </w:r>
          </w:p>
        </w:tc>
        <w:tc>
          <w:tcPr>
            <w:tcW w:type="dxa" w:w="1584"/>
          </w:tcPr>
          <w:p>
            <w:pPr>
              <w:spacing w:line="240" w:lineRule="auto" w:after="40"/>
            </w:pPr>
            <w:r/>
            <w:r>
              <w:rPr>
                <w:sz w:val="18"/>
              </w:rPr>
              <w:t>0.260</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Reservation Count</w:t>
            </w:r>
          </w:p>
        </w:tc>
        <w:tc>
          <w:tcPr>
            <w:tcW w:type="dxa" w:w="2016"/>
          </w:tcPr>
          <w:p>
            <w:pPr>
              <w:spacing w:line="240" w:lineRule="auto" w:after="40"/>
            </w:pPr>
            <w:r/>
            <w:r>
              <w:rPr>
                <w:sz w:val="18"/>
              </w:rPr>
              <w:t>0.00455</w:t>
            </w:r>
          </w:p>
        </w:tc>
        <w:tc>
          <w:tcPr>
            <w:tcW w:type="dxa" w:w="1584"/>
          </w:tcPr>
          <w:p>
            <w:pPr>
              <w:spacing w:line="240" w:lineRule="auto" w:after="40"/>
            </w:pPr>
            <w:r/>
            <w:r>
              <w:rPr>
                <w:sz w:val="18"/>
              </w:rPr>
              <w:t>0.258</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Book Popularity Score</w:t>
            </w:r>
          </w:p>
        </w:tc>
        <w:tc>
          <w:tcPr>
            <w:tcW w:type="dxa" w:w="2016"/>
          </w:tcPr>
          <w:p>
            <w:pPr>
              <w:spacing w:line="240" w:lineRule="auto" w:after="40"/>
            </w:pPr>
            <w:r/>
            <w:r>
              <w:rPr>
                <w:sz w:val="18"/>
              </w:rPr>
              <w:t>0.10019</w:t>
            </w:r>
          </w:p>
        </w:tc>
        <w:tc>
          <w:tcPr>
            <w:tcW w:type="dxa" w:w="1584"/>
          </w:tcPr>
          <w:p>
            <w:pPr>
              <w:spacing w:line="240" w:lineRule="auto" w:after="40"/>
            </w:pPr>
            <w:r/>
            <w:r>
              <w:rPr>
                <w:sz w:val="18"/>
              </w:rPr>
              <w:t>0.244</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Reading Interest Score</w:t>
            </w:r>
          </w:p>
        </w:tc>
        <w:tc>
          <w:tcPr>
            <w:tcW w:type="dxa" w:w="2016"/>
          </w:tcPr>
          <w:p>
            <w:pPr>
              <w:spacing w:line="240" w:lineRule="auto" w:after="40"/>
            </w:pPr>
            <w:r/>
            <w:r>
              <w:rPr>
                <w:sz w:val="18"/>
              </w:rPr>
              <w:t>0.09034</w:t>
            </w:r>
          </w:p>
        </w:tc>
        <w:tc>
          <w:tcPr>
            <w:tcW w:type="dxa" w:w="1584"/>
          </w:tcPr>
          <w:p>
            <w:pPr>
              <w:spacing w:line="240" w:lineRule="auto" w:after="40"/>
            </w:pPr>
            <w:r/>
            <w:r>
              <w:rPr>
                <w:sz w:val="18"/>
              </w:rPr>
              <w:t>0.218</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User Book Similarity Score</w:t>
            </w:r>
          </w:p>
        </w:tc>
        <w:tc>
          <w:tcPr>
            <w:tcW w:type="dxa" w:w="2016"/>
          </w:tcPr>
          <w:p>
            <w:pPr>
              <w:spacing w:line="240" w:lineRule="auto" w:after="40"/>
            </w:pPr>
            <w:r/>
            <w:r>
              <w:rPr>
                <w:sz w:val="18"/>
              </w:rPr>
              <w:t>0.08802</w:t>
            </w:r>
          </w:p>
        </w:tc>
        <w:tc>
          <w:tcPr>
            <w:tcW w:type="dxa" w:w="1584"/>
          </w:tcPr>
          <w:p>
            <w:pPr>
              <w:spacing w:line="240" w:lineRule="auto" w:after="40"/>
            </w:pPr>
            <w:r/>
            <w:r>
              <w:rPr>
                <w:sz w:val="18"/>
              </w:rPr>
              <w:t>0.212</w:t>
            </w:r>
          </w:p>
        </w:tc>
        <w:tc>
          <w:tcPr>
            <w:tcW w:type="dxa" w:w="1584"/>
          </w:tcPr>
          <w:p>
            <w:pPr>
              <w:spacing w:line="240" w:lineRule="auto" w:after="40"/>
            </w:pPr>
            <w:r/>
            <w:r>
              <w:rPr>
                <w:sz w:val="18"/>
              </w:rPr>
              <w:t>&lt; 0.001</w:t>
            </w:r>
          </w:p>
        </w:tc>
      </w:tr>
      <w:tr>
        <w:trPr>
          <w:cantSplit/>
        </w:trPr>
        <w:tc>
          <w:tcPr>
            <w:tcW w:type="dxa" w:w="4032"/>
          </w:tcPr>
          <w:p>
            <w:pPr>
              <w:spacing w:line="240" w:lineRule="auto" w:after="40"/>
            </w:pPr>
            <w:r/>
            <w:r>
              <w:rPr>
                <w:sz w:val="18"/>
              </w:rPr>
              <w:t>Cold Start</w:t>
            </w:r>
          </w:p>
        </w:tc>
        <w:tc>
          <w:tcPr>
            <w:tcW w:type="dxa" w:w="2016"/>
          </w:tcPr>
          <w:p>
            <w:pPr>
              <w:spacing w:line="240" w:lineRule="auto" w:after="40"/>
            </w:pPr>
            <w:r/>
            <w:r>
              <w:rPr>
                <w:sz w:val="18"/>
              </w:rPr>
              <w:t>0.00029</w:t>
            </w:r>
          </w:p>
        </w:tc>
        <w:tc>
          <w:tcPr>
            <w:tcW w:type="dxa" w:w="1584"/>
          </w:tcPr>
          <w:p>
            <w:pPr>
              <w:spacing w:line="240" w:lineRule="auto" w:after="40"/>
            </w:pPr>
            <w:r/>
            <w:r>
              <w:rPr>
                <w:sz w:val="18"/>
              </w:rPr>
              <w:t>0.001</w:t>
            </w:r>
          </w:p>
        </w:tc>
        <w:tc>
          <w:tcPr>
            <w:tcW w:type="dxa" w:w="1584"/>
          </w:tcPr>
          <w:p>
            <w:pPr>
              <w:spacing w:line="240" w:lineRule="auto" w:after="40"/>
            </w:pPr>
            <w:r/>
            <w:r>
              <w:rPr>
                <w:sz w:val="18"/>
              </w:rPr>
              <w:t>0.813</w:t>
            </w:r>
          </w:p>
        </w:tc>
      </w:tr>
      <w:tr>
        <w:trPr>
          <w:cantSplit/>
        </w:trPr>
        <w:tc>
          <w:tcPr>
            <w:tcW w:type="dxa" w:w="4032"/>
          </w:tcPr>
          <w:p>
            <w:pPr>
              <w:spacing w:line="240" w:lineRule="auto" w:after="40"/>
            </w:pPr>
            <w:r/>
            <w:r>
              <w:rPr>
                <w:sz w:val="18"/>
              </w:rPr>
              <w:t>Books Borrowed Last 6 Months</w:t>
            </w:r>
          </w:p>
        </w:tc>
        <w:tc>
          <w:tcPr>
            <w:tcW w:type="dxa" w:w="2016"/>
          </w:tcPr>
          <w:p>
            <w:pPr>
              <w:spacing w:line="240" w:lineRule="auto" w:after="40"/>
            </w:pPr>
            <w:r/>
            <w:r>
              <w:rPr>
                <w:sz w:val="18"/>
              </w:rPr>
              <w:t>0.00001</w:t>
            </w:r>
          </w:p>
        </w:tc>
        <w:tc>
          <w:tcPr>
            <w:tcW w:type="dxa" w:w="1584"/>
          </w:tcPr>
          <w:p>
            <w:pPr>
              <w:spacing w:line="240" w:lineRule="auto" w:after="40"/>
            </w:pPr>
            <w:r/>
            <w:r>
              <w:rPr>
                <w:sz w:val="18"/>
              </w:rPr>
              <w:t>0.001</w:t>
            </w:r>
          </w:p>
        </w:tc>
        <w:tc>
          <w:tcPr>
            <w:tcW w:type="dxa" w:w="1584"/>
          </w:tcPr>
          <w:p>
            <w:pPr>
              <w:spacing w:line="240" w:lineRule="auto" w:after="40"/>
            </w:pPr>
            <w:r/>
            <w:r>
              <w:rPr>
                <w:sz w:val="18"/>
              </w:rPr>
              <w:t>0.814</w:t>
            </w:r>
          </w:p>
        </w:tc>
      </w:tr>
      <w:tr>
        <w:trPr>
          <w:cantSplit/>
        </w:trPr>
        <w:tc>
          <w:tcPr>
            <w:tcW w:type="dxa" w:w="4032"/>
          </w:tcPr>
          <w:p>
            <w:pPr>
              <w:spacing w:line="240" w:lineRule="auto" w:after="40"/>
            </w:pPr>
            <w:r/>
            <w:r>
              <w:rPr>
                <w:sz w:val="18"/>
              </w:rPr>
              <w:t>Search Count</w:t>
            </w:r>
          </w:p>
        </w:tc>
        <w:tc>
          <w:tcPr>
            <w:tcW w:type="dxa" w:w="2016"/>
          </w:tcPr>
          <w:p>
            <w:pPr>
              <w:spacing w:line="240" w:lineRule="auto" w:after="40"/>
            </w:pPr>
            <w:r/>
            <w:r>
              <w:rPr>
                <w:sz w:val="18"/>
              </w:rPr>
              <w:t>-0.00000</w:t>
            </w:r>
          </w:p>
        </w:tc>
        <w:tc>
          <w:tcPr>
            <w:tcW w:type="dxa" w:w="1584"/>
          </w:tcPr>
          <w:p>
            <w:pPr>
              <w:spacing w:line="240" w:lineRule="auto" w:after="40"/>
            </w:pPr>
            <w:r/>
            <w:r>
              <w:rPr>
                <w:sz w:val="18"/>
              </w:rPr>
              <w:t>-0.000</w:t>
            </w:r>
          </w:p>
        </w:tc>
        <w:tc>
          <w:tcPr>
            <w:tcW w:type="dxa" w:w="1584"/>
          </w:tcPr>
          <w:p>
            <w:pPr>
              <w:spacing w:line="240" w:lineRule="auto" w:after="40"/>
            </w:pPr>
            <w:r/>
            <w:r>
              <w:rPr>
                <w:sz w:val="18"/>
              </w:rPr>
              <w:t>0.959</w:t>
            </w:r>
          </w:p>
        </w:tc>
      </w:tr>
    </w:tbl>
    <w:p>
      <w:pPr>
        <w:spacing w:after="40"/>
      </w:pPr>
    </w:p>
    <w:p>
      <w:pPr>
        <w:pStyle w:val="Caption"/>
        <w:keepNext/>
      </w:pPr>
      <w:r>
        <w:t>Table 7. Model A performance</w:t>
      </w:r>
    </w:p>
    <w:tbl>
      <w:tblPr>
        <w:tblStyle w:val="TableGrid"/>
        <w:tblW w:type="auto" w:w="0"/>
        <w:jc w:val="center"/>
        <w:tblLayout w:type="fixed"/>
        <w:tblLook w:firstColumn="1" w:firstRow="1" w:lastColumn="0" w:lastRow="0" w:noHBand="0" w:noVBand="1" w:val="04A0"/>
      </w:tblPr>
      <w:tblGrid>
        <w:gridCol w:w="4608"/>
        <w:gridCol w:w="4608"/>
      </w:tblGrid>
      <w:tr>
        <w:trPr>
          <w:tblHeader w:val="true"/>
          <w:cantSplit/>
        </w:trPr>
        <w:tc>
          <w:tcPr>
            <w:tcW w:type="dxa" w:w="4608"/>
            <w:shd w:val="clear" w:color="auto" w:fill="1F4E79"/>
          </w:tcPr>
          <w:p>
            <w:pPr>
              <w:spacing w:line="240" w:lineRule="auto" w:after="40"/>
            </w:pPr>
            <w:r/>
            <w:r>
              <w:rPr>
                <w:b/>
                <w:color w:val="FFFFFF"/>
                <w:sz w:val="20"/>
              </w:rPr>
              <w:t>Metric</w:t>
            </w:r>
          </w:p>
        </w:tc>
        <w:tc>
          <w:tcPr>
            <w:tcW w:type="dxa" w:w="4608"/>
            <w:shd w:val="clear" w:color="auto" w:fill="1F4E79"/>
          </w:tcPr>
          <w:p>
            <w:pPr>
              <w:spacing w:line="240" w:lineRule="auto" w:after="40"/>
            </w:pPr>
            <w:r/>
            <w:r>
              <w:rPr>
                <w:b/>
                <w:color w:val="FFFFFF"/>
                <w:sz w:val="20"/>
              </w:rPr>
              <w:t>Value</w:t>
            </w:r>
          </w:p>
        </w:tc>
      </w:tr>
      <w:tr>
        <w:trPr>
          <w:cantSplit/>
        </w:trPr>
        <w:tc>
          <w:tcPr>
            <w:tcW w:type="dxa" w:w="4608"/>
          </w:tcPr>
          <w:p>
            <w:pPr>
              <w:spacing w:line="240" w:lineRule="auto" w:after="40"/>
            </w:pPr>
            <w:r/>
            <w:r>
              <w:rPr>
                <w:sz w:val="20"/>
              </w:rPr>
              <w:t>R² (training)</w:t>
            </w:r>
          </w:p>
        </w:tc>
        <w:tc>
          <w:tcPr>
            <w:tcW w:type="dxa" w:w="4608"/>
          </w:tcPr>
          <w:p>
            <w:pPr>
              <w:spacing w:line="240" w:lineRule="auto" w:after="40"/>
            </w:pPr>
            <w:r/>
            <w:r>
              <w:rPr>
                <w:sz w:val="20"/>
              </w:rPr>
              <w:t>0.918</w:t>
            </w:r>
          </w:p>
        </w:tc>
      </w:tr>
      <w:tr>
        <w:trPr>
          <w:cantSplit/>
        </w:trPr>
        <w:tc>
          <w:tcPr>
            <w:tcW w:type="dxa" w:w="4608"/>
          </w:tcPr>
          <w:p>
            <w:pPr>
              <w:spacing w:line="240" w:lineRule="auto" w:after="40"/>
            </w:pPr>
            <w:r/>
            <w:r>
              <w:rPr>
                <w:sz w:val="20"/>
              </w:rPr>
              <w:t>Adjusted R² (training)</w:t>
            </w:r>
          </w:p>
        </w:tc>
        <w:tc>
          <w:tcPr>
            <w:tcW w:type="dxa" w:w="4608"/>
          </w:tcPr>
          <w:p>
            <w:pPr>
              <w:spacing w:line="240" w:lineRule="auto" w:after="40"/>
            </w:pPr>
            <w:r/>
            <w:r>
              <w:rPr>
                <w:sz w:val="20"/>
              </w:rPr>
              <w:t>0.918</w:t>
            </w:r>
          </w:p>
        </w:tc>
      </w:tr>
      <w:tr>
        <w:trPr>
          <w:cantSplit/>
        </w:trPr>
        <w:tc>
          <w:tcPr>
            <w:tcW w:type="dxa" w:w="4608"/>
          </w:tcPr>
          <w:p>
            <w:pPr>
              <w:spacing w:line="240" w:lineRule="auto" w:after="40"/>
            </w:pPr>
            <w:r/>
            <w:r>
              <w:rPr>
                <w:sz w:val="20"/>
              </w:rPr>
              <w:t>R² (test set)</w:t>
            </w:r>
          </w:p>
        </w:tc>
        <w:tc>
          <w:tcPr>
            <w:tcW w:type="dxa" w:w="4608"/>
          </w:tcPr>
          <w:p>
            <w:pPr>
              <w:spacing w:line="240" w:lineRule="auto" w:after="40"/>
            </w:pPr>
            <w:r/>
            <w:r>
              <w:rPr>
                <w:sz w:val="20"/>
              </w:rPr>
              <w:t>0.914</w:t>
            </w:r>
          </w:p>
        </w:tc>
      </w:tr>
      <w:tr>
        <w:trPr>
          <w:cantSplit/>
        </w:trPr>
        <w:tc>
          <w:tcPr>
            <w:tcW w:type="dxa" w:w="4608"/>
          </w:tcPr>
          <w:p>
            <w:pPr>
              <w:spacing w:line="240" w:lineRule="auto" w:after="40"/>
            </w:pPr>
            <w:r/>
            <w:r>
              <w:rPr>
                <w:sz w:val="20"/>
              </w:rPr>
              <w:t>RMSE (test)</w:t>
            </w:r>
          </w:p>
        </w:tc>
        <w:tc>
          <w:tcPr>
            <w:tcW w:type="dxa" w:w="4608"/>
          </w:tcPr>
          <w:p>
            <w:pPr>
              <w:spacing w:line="240" w:lineRule="auto" w:after="40"/>
            </w:pPr>
            <w:r/>
            <w:r>
              <w:rPr>
                <w:sz w:val="20"/>
              </w:rPr>
              <w:t>0.031 score points</w:t>
            </w:r>
          </w:p>
        </w:tc>
      </w:tr>
      <w:tr>
        <w:trPr>
          <w:cantSplit/>
        </w:trPr>
        <w:tc>
          <w:tcPr>
            <w:tcW w:type="dxa" w:w="4608"/>
          </w:tcPr>
          <w:p>
            <w:pPr>
              <w:spacing w:line="240" w:lineRule="auto" w:after="40"/>
            </w:pPr>
            <w:r/>
            <w:r>
              <w:rPr>
                <w:sz w:val="20"/>
              </w:rPr>
              <w:t>MAE (test)</w:t>
            </w:r>
          </w:p>
        </w:tc>
        <w:tc>
          <w:tcPr>
            <w:tcW w:type="dxa" w:w="4608"/>
          </w:tcPr>
          <w:p>
            <w:pPr>
              <w:spacing w:line="240" w:lineRule="auto" w:after="40"/>
            </w:pPr>
            <w:r/>
            <w:r>
              <w:rPr>
                <w:sz w:val="20"/>
              </w:rPr>
              <w:t>0.022 score points</w:t>
            </w:r>
          </w:p>
        </w:tc>
      </w:tr>
      <w:tr>
        <w:trPr>
          <w:cantSplit/>
        </w:trPr>
        <w:tc>
          <w:tcPr>
            <w:tcW w:type="dxa" w:w="4608"/>
          </w:tcPr>
          <w:p>
            <w:pPr>
              <w:spacing w:line="240" w:lineRule="auto" w:after="40"/>
            </w:pPr>
            <w:r/>
            <w:r>
              <w:rPr>
                <w:sz w:val="20"/>
              </w:rPr>
              <w:t>Compared with Checkpoint 2 simple model</w:t>
            </w:r>
          </w:p>
        </w:tc>
        <w:tc>
          <w:tcPr>
            <w:tcW w:type="dxa" w:w="4608"/>
          </w:tcPr>
          <w:p>
            <w:pPr>
              <w:spacing w:line="240" w:lineRule="auto" w:after="40"/>
            </w:pPr>
            <w:r/>
            <w:r>
              <w:rPr>
                <w:sz w:val="20"/>
              </w:rPr>
              <w:t>R² improves from 0.256 to 0.914</w:t>
            </w:r>
          </w:p>
        </w:tc>
      </w:tr>
    </w:tbl>
    <w:p>
      <w:pPr>
        <w:spacing w:after="40"/>
      </w:pPr>
    </w:p>
    <w:p>
      <w:pPr>
        <w:jc w:val="both"/>
      </w:pPr>
      <w:r>
        <w:rPr>
          <w:b w:val="0"/>
          <w:i w:val="0"/>
        </w:rPr>
        <w:t xml:space="preserve">The model explains about 91% of the variation in recommendation score on unseen data, with a typical error of about 0.02 on a 0–1 scale. Ten of the 13 predictors are highly significant. Books Borrowed (6 months), Search Count and the Cold-Start flag are </w:t>
      </w:r>
      <w:r>
        <w:rPr>
          <w:b/>
          <w:i w:val="0"/>
        </w:rPr>
        <w:t>not</w:t>
      </w:r>
      <w:r>
        <w:rPr>
          <w:b w:val="0"/>
          <w:i w:val="0"/>
        </w:rPr>
        <w:t xml:space="preserve"> significant (p &gt; 0.8). Borrowing Frequency is the strongest predictor (standardized beta 0.46), followed by Reading Duration (0.34), Book View Count (0.30) and Renewal Count (0.29). Multicollinearity is not a concern (largest VIF ≈ 2.0).</w:t>
      </w:r>
    </w:p>
    <w:p>
      <w:pPr>
        <w:keepNext/>
        <w:spacing w:line="240" w:lineRule="auto"/>
        <w:jc w:val="center"/>
      </w:pPr>
      <w:r>
        <w:drawing>
          <wp:inline xmlns:a="http://schemas.openxmlformats.org/drawingml/2006/main" xmlns:pic="http://schemas.openxmlformats.org/drawingml/2006/picture">
            <wp:extent cx="4023360" cy="3374431"/>
            <wp:docPr id="7" name="Picture 7"/>
            <wp:cNvGraphicFramePr>
              <a:graphicFrameLocks noChangeAspect="1"/>
            </wp:cNvGraphicFramePr>
            <a:graphic>
              <a:graphicData uri="http://schemas.openxmlformats.org/drawingml/2006/picture">
                <pic:pic>
                  <pic:nvPicPr>
                    <pic:cNvPr id="0" name="cp4_actual_vs_predicted.png"/>
                    <pic:cNvPicPr/>
                  </pic:nvPicPr>
                  <pic:blipFill>
                    <a:blip r:embed="rId17"/>
                    <a:stretch>
                      <a:fillRect/>
                    </a:stretch>
                  </pic:blipFill>
                  <pic:spPr>
                    <a:xfrm>
                      <a:off x="0" y="0"/>
                      <a:ext cx="4023360" cy="3374431"/>
                    </a:xfrm>
                    <a:prstGeom prst="rect"/>
                  </pic:spPr>
                </pic:pic>
              </a:graphicData>
            </a:graphic>
          </wp:inline>
        </w:drawing>
      </w:r>
    </w:p>
    <w:p>
      <w:pPr>
        <w:pStyle w:val="Caption"/>
        <w:jc w:val="center"/>
      </w:pPr>
      <w:r>
        <w:t>Figure 7. Actual versus predicted Recommendation Score on the held-out test set</w:t>
      </w:r>
    </w:p>
    <w:p>
      <w:pPr>
        <w:keepNext/>
        <w:spacing w:line="240" w:lineRule="auto"/>
        <w:jc w:val="center"/>
      </w:pPr>
      <w:r>
        <w:drawing>
          <wp:inline xmlns:a="http://schemas.openxmlformats.org/drawingml/2006/main" xmlns:pic="http://schemas.openxmlformats.org/drawingml/2006/picture">
            <wp:extent cx="4754880" cy="3396343"/>
            <wp:docPr id="8" name="Picture 8"/>
            <wp:cNvGraphicFramePr>
              <a:graphicFrameLocks noChangeAspect="1"/>
            </wp:cNvGraphicFramePr>
            <a:graphic>
              <a:graphicData uri="http://schemas.openxmlformats.org/drawingml/2006/picture">
                <pic:pic>
                  <pic:nvPicPr>
                    <pic:cNvPr id="0" name="cp4_predictor_importance.png"/>
                    <pic:cNvPicPr/>
                  </pic:nvPicPr>
                  <pic:blipFill>
                    <a:blip r:embed="rId18"/>
                    <a:stretch>
                      <a:fillRect/>
                    </a:stretch>
                  </pic:blipFill>
                  <pic:spPr>
                    <a:xfrm>
                      <a:off x="0" y="0"/>
                      <a:ext cx="4754880" cy="3396343"/>
                    </a:xfrm>
                    <a:prstGeom prst="rect"/>
                  </pic:spPr>
                </pic:pic>
              </a:graphicData>
            </a:graphic>
          </wp:inline>
        </w:drawing>
      </w:r>
    </w:p>
    <w:p>
      <w:pPr>
        <w:pStyle w:val="Caption"/>
        <w:jc w:val="center"/>
      </w:pPr>
      <w:r>
        <w:t>Figure 8. Standardized predictor importance in the multiple regression</w:t>
      </w:r>
    </w:p>
    <w:p>
      <w:pPr>
        <w:pStyle w:val="Heading2"/>
      </w:pPr>
      <w:r>
        <w:t>7.3 Predictions from the Model</w:t>
      </w:r>
    </w:p>
    <w:p>
      <w:pPr>
        <w:pStyle w:val="Caption"/>
        <w:keepNext/>
      </w:pPr>
      <w:r>
        <w:t>Table 8. What-if predictions (all other inputs held at their averages)</w:t>
      </w:r>
    </w:p>
    <w:tbl>
      <w:tblPr>
        <w:tblStyle w:val="TableGrid"/>
        <w:tblW w:type="auto" w:w="0"/>
        <w:jc w:val="center"/>
        <w:tblLayout w:type="fixed"/>
        <w:tblLook w:firstColumn="1" w:firstRow="1" w:lastColumn="0" w:lastRow="0" w:noHBand="0" w:noVBand="1" w:val="04A0"/>
      </w:tblPr>
      <w:tblGrid>
        <w:gridCol w:w="4896"/>
        <w:gridCol w:w="2160"/>
        <w:gridCol w:w="2160"/>
      </w:tblGrid>
      <w:tr>
        <w:trPr>
          <w:tblHeader w:val="true"/>
          <w:cantSplit/>
        </w:trPr>
        <w:tc>
          <w:tcPr>
            <w:tcW w:type="dxa" w:w="4896"/>
            <w:shd w:val="clear" w:color="auto" w:fill="1F4E79"/>
          </w:tcPr>
          <w:p>
            <w:pPr>
              <w:spacing w:line="240" w:lineRule="auto" w:after="40"/>
            </w:pPr>
            <w:r/>
            <w:r>
              <w:rPr>
                <w:b/>
                <w:color w:val="FFFFFF"/>
                <w:sz w:val="20"/>
              </w:rPr>
              <w:t>Scenario</w:t>
            </w:r>
          </w:p>
        </w:tc>
        <w:tc>
          <w:tcPr>
            <w:tcW w:type="dxa" w:w="2160"/>
            <w:shd w:val="clear" w:color="auto" w:fill="1F4E79"/>
          </w:tcPr>
          <w:p>
            <w:pPr>
              <w:spacing w:line="240" w:lineRule="auto" w:after="40"/>
            </w:pPr>
            <w:r/>
            <w:r>
              <w:rPr>
                <w:b/>
                <w:color w:val="FFFFFF"/>
                <w:sz w:val="20"/>
              </w:rPr>
              <w:t>Predicted score</w:t>
            </w:r>
          </w:p>
        </w:tc>
        <w:tc>
          <w:tcPr>
            <w:tcW w:type="dxa" w:w="2160"/>
            <w:shd w:val="clear" w:color="auto" w:fill="1F4E79"/>
          </w:tcPr>
          <w:p>
            <w:pPr>
              <w:spacing w:line="240" w:lineRule="auto" w:after="40"/>
            </w:pPr>
            <w:r/>
            <w:r>
              <w:rPr>
                <w:b/>
                <w:color w:val="FFFFFF"/>
                <w:sz w:val="20"/>
              </w:rPr>
              <w:t>Change</w:t>
            </w:r>
          </w:p>
        </w:tc>
      </w:tr>
      <w:tr>
        <w:trPr>
          <w:cantSplit/>
        </w:trPr>
        <w:tc>
          <w:tcPr>
            <w:tcW w:type="dxa" w:w="4896"/>
          </w:tcPr>
          <w:p>
            <w:pPr>
              <w:spacing w:line="240" w:lineRule="auto" w:after="40"/>
            </w:pPr>
            <w:r/>
            <w:r>
              <w:rPr>
                <w:sz w:val="20"/>
              </w:rPr>
              <w:t>Average patron (baseline)</w:t>
            </w:r>
          </w:p>
        </w:tc>
        <w:tc>
          <w:tcPr>
            <w:tcW w:type="dxa" w:w="2160"/>
          </w:tcPr>
          <w:p>
            <w:pPr>
              <w:spacing w:line="240" w:lineRule="auto" w:after="40"/>
            </w:pPr>
            <w:r/>
            <w:r>
              <w:rPr>
                <w:sz w:val="20"/>
              </w:rPr>
              <w:t>0.556</w:t>
            </w:r>
          </w:p>
        </w:tc>
        <w:tc>
          <w:tcPr>
            <w:tcW w:type="dxa" w:w="2160"/>
          </w:tcPr>
          <w:p>
            <w:pPr>
              <w:spacing w:line="240" w:lineRule="auto" w:after="40"/>
            </w:pPr>
            <w:r/>
            <w:r>
              <w:rPr>
                <w:sz w:val="20"/>
              </w:rPr>
              <w:t>—</w:t>
            </w:r>
          </w:p>
        </w:tc>
      </w:tr>
      <w:tr>
        <w:trPr>
          <w:cantSplit/>
        </w:trPr>
        <w:tc>
          <w:tcPr>
            <w:tcW w:type="dxa" w:w="4896"/>
          </w:tcPr>
          <w:p>
            <w:pPr>
              <w:spacing w:line="240" w:lineRule="auto" w:after="40"/>
            </w:pPr>
            <w:r/>
            <w:r>
              <w:rPr>
                <w:sz w:val="20"/>
              </w:rPr>
              <w:t>+5 borrowing frequency</w:t>
            </w:r>
          </w:p>
        </w:tc>
        <w:tc>
          <w:tcPr>
            <w:tcW w:type="dxa" w:w="2160"/>
          </w:tcPr>
          <w:p>
            <w:pPr>
              <w:spacing w:line="240" w:lineRule="auto" w:after="40"/>
            </w:pPr>
            <w:r/>
            <w:r>
              <w:rPr>
                <w:sz w:val="20"/>
              </w:rPr>
              <w:t>0.574</w:t>
            </w:r>
          </w:p>
        </w:tc>
        <w:tc>
          <w:tcPr>
            <w:tcW w:type="dxa" w:w="2160"/>
          </w:tcPr>
          <w:p>
            <w:pPr>
              <w:spacing w:line="240" w:lineRule="auto" w:after="40"/>
            </w:pPr>
            <w:r/>
            <w:r>
              <w:rPr>
                <w:sz w:val="20"/>
              </w:rPr>
              <w:t>+0.018</w:t>
            </w:r>
          </w:p>
        </w:tc>
      </w:tr>
      <w:tr>
        <w:trPr>
          <w:cantSplit/>
        </w:trPr>
        <w:tc>
          <w:tcPr>
            <w:tcW w:type="dxa" w:w="4896"/>
          </w:tcPr>
          <w:p>
            <w:pPr>
              <w:spacing w:line="240" w:lineRule="auto" w:after="40"/>
            </w:pPr>
            <w:r/>
            <w:r>
              <w:rPr>
                <w:sz w:val="20"/>
              </w:rPr>
              <w:t>+30 minutes average reading duration</w:t>
            </w:r>
          </w:p>
        </w:tc>
        <w:tc>
          <w:tcPr>
            <w:tcW w:type="dxa" w:w="2160"/>
          </w:tcPr>
          <w:p>
            <w:pPr>
              <w:spacing w:line="240" w:lineRule="auto" w:after="40"/>
            </w:pPr>
            <w:r/>
            <w:r>
              <w:rPr>
                <w:sz w:val="20"/>
              </w:rPr>
              <w:t>0.578</w:t>
            </w:r>
          </w:p>
        </w:tc>
        <w:tc>
          <w:tcPr>
            <w:tcW w:type="dxa" w:w="2160"/>
          </w:tcPr>
          <w:p>
            <w:pPr>
              <w:spacing w:line="240" w:lineRule="auto" w:after="40"/>
            </w:pPr>
            <w:r/>
            <w:r>
              <w:rPr>
                <w:sz w:val="20"/>
              </w:rPr>
              <w:t>+0.022</w:t>
            </w:r>
          </w:p>
        </w:tc>
      </w:tr>
      <w:tr>
        <w:trPr>
          <w:cantSplit/>
        </w:trPr>
        <w:tc>
          <w:tcPr>
            <w:tcW w:type="dxa" w:w="4896"/>
          </w:tcPr>
          <w:p>
            <w:pPr>
              <w:spacing w:line="240" w:lineRule="auto" w:after="40"/>
            </w:pPr>
            <w:r/>
            <w:r>
              <w:rPr>
                <w:sz w:val="20"/>
              </w:rPr>
              <w:t>+2 renewals</w:t>
            </w:r>
          </w:p>
        </w:tc>
        <w:tc>
          <w:tcPr>
            <w:tcW w:type="dxa" w:w="2160"/>
          </w:tcPr>
          <w:p>
            <w:pPr>
              <w:spacing w:line="240" w:lineRule="auto" w:after="40"/>
            </w:pPr>
            <w:r/>
            <w:r>
              <w:rPr>
                <w:sz w:val="20"/>
              </w:rPr>
              <w:t>0.569</w:t>
            </w:r>
          </w:p>
        </w:tc>
        <w:tc>
          <w:tcPr>
            <w:tcW w:type="dxa" w:w="2160"/>
          </w:tcPr>
          <w:p>
            <w:pPr>
              <w:spacing w:line="240" w:lineRule="auto" w:after="40"/>
            </w:pPr>
            <w:r/>
            <w:r>
              <w:rPr>
                <w:sz w:val="20"/>
              </w:rPr>
              <w:t>+0.013</w:t>
            </w:r>
          </w:p>
        </w:tc>
      </w:tr>
      <w:tr>
        <w:trPr>
          <w:cantSplit/>
        </w:trPr>
        <w:tc>
          <w:tcPr>
            <w:tcW w:type="dxa" w:w="4896"/>
          </w:tcPr>
          <w:p>
            <w:pPr>
              <w:spacing w:line="240" w:lineRule="auto" w:after="40"/>
            </w:pPr>
            <w:r/>
            <w:r>
              <w:rPr>
                <w:sz w:val="20"/>
              </w:rPr>
              <w:t>+0.10 metadata match</w:t>
            </w:r>
          </w:p>
        </w:tc>
        <w:tc>
          <w:tcPr>
            <w:tcW w:type="dxa" w:w="2160"/>
          </w:tcPr>
          <w:p>
            <w:pPr>
              <w:spacing w:line="240" w:lineRule="auto" w:after="40"/>
            </w:pPr>
            <w:r/>
            <w:r>
              <w:rPr>
                <w:sz w:val="20"/>
              </w:rPr>
              <w:t>0.567</w:t>
            </w:r>
          </w:p>
        </w:tc>
        <w:tc>
          <w:tcPr>
            <w:tcW w:type="dxa" w:w="2160"/>
          </w:tcPr>
          <w:p>
            <w:pPr>
              <w:spacing w:line="240" w:lineRule="auto" w:after="40"/>
            </w:pPr>
            <w:r/>
            <w:r>
              <w:rPr>
                <w:sz w:val="20"/>
              </w:rPr>
              <w:t>+0.011</w:t>
            </w:r>
          </w:p>
        </w:tc>
      </w:tr>
      <w:tr>
        <w:trPr>
          <w:cantSplit/>
        </w:trPr>
        <w:tc>
          <w:tcPr>
            <w:tcW w:type="dxa" w:w="4896"/>
          </w:tcPr>
          <w:p>
            <w:pPr>
              <w:spacing w:line="240" w:lineRule="auto" w:after="40"/>
            </w:pPr>
            <w:r/>
            <w:r>
              <w:rPr>
                <w:sz w:val="20"/>
              </w:rPr>
              <w:t>Typical new patron (3 borrows, cold-start)</w:t>
            </w:r>
          </w:p>
        </w:tc>
        <w:tc>
          <w:tcPr>
            <w:tcW w:type="dxa" w:w="2160"/>
          </w:tcPr>
          <w:p>
            <w:pPr>
              <w:spacing w:line="240" w:lineRule="auto" w:after="40"/>
            </w:pPr>
            <w:r/>
            <w:r>
              <w:rPr>
                <w:sz w:val="20"/>
              </w:rPr>
              <w:t>0.499</w:t>
            </w:r>
          </w:p>
        </w:tc>
        <w:tc>
          <w:tcPr>
            <w:tcW w:type="dxa" w:w="2160"/>
          </w:tcPr>
          <w:p>
            <w:pPr>
              <w:spacing w:line="240" w:lineRule="auto" w:after="40"/>
            </w:pPr>
            <w:r/>
            <w:r>
              <w:rPr>
                <w:sz w:val="20"/>
              </w:rPr>
              <w:t>-0.057</w:t>
            </w:r>
          </w:p>
        </w:tc>
      </w:tr>
      <w:tr>
        <w:trPr>
          <w:cantSplit/>
        </w:trPr>
        <w:tc>
          <w:tcPr>
            <w:tcW w:type="dxa" w:w="4896"/>
          </w:tcPr>
          <w:p>
            <w:pPr>
              <w:spacing w:line="240" w:lineRule="auto" w:after="40"/>
            </w:pPr>
            <w:r/>
            <w:r>
              <w:rPr>
                <w:sz w:val="20"/>
              </w:rPr>
              <w:t>Typical established patron (23 borrows)</w:t>
            </w:r>
          </w:p>
        </w:tc>
        <w:tc>
          <w:tcPr>
            <w:tcW w:type="dxa" w:w="2160"/>
          </w:tcPr>
          <w:p>
            <w:pPr>
              <w:spacing w:line="240" w:lineRule="auto" w:after="40"/>
            </w:pPr>
            <w:r/>
            <w:r>
              <w:rPr>
                <w:sz w:val="20"/>
              </w:rPr>
              <w:t>0.569</w:t>
            </w:r>
          </w:p>
        </w:tc>
        <w:tc>
          <w:tcPr>
            <w:tcW w:type="dxa" w:w="2160"/>
          </w:tcPr>
          <w:p>
            <w:pPr>
              <w:spacing w:line="240" w:lineRule="auto" w:after="40"/>
            </w:pPr>
            <w:r/>
            <w:r>
              <w:rPr>
                <w:sz w:val="20"/>
              </w:rPr>
              <w:t>+0.013</w:t>
            </w:r>
          </w:p>
        </w:tc>
      </w:tr>
    </w:tbl>
    <w:p>
      <w:pPr>
        <w:spacing w:after="40"/>
      </w:pPr>
    </w:p>
    <w:p>
      <w:pPr>
        <w:pStyle w:val="Heading2"/>
      </w:pPr>
      <w:r>
        <w:t>7.4 Model B Results (Logistic Regression)</w:t>
      </w:r>
    </w:p>
    <w:p>
      <w:pPr>
        <w:keepNext/>
        <w:spacing w:line="240" w:lineRule="auto"/>
        <w:jc w:val="center"/>
      </w:pPr>
      <w:r>
        <w:drawing>
          <wp:inline xmlns:a="http://schemas.openxmlformats.org/drawingml/2006/main" xmlns:pic="http://schemas.openxmlformats.org/drawingml/2006/picture">
            <wp:extent cx="3108960" cy="2571066"/>
            <wp:docPr id="9" name="Picture 9"/>
            <wp:cNvGraphicFramePr>
              <a:graphicFrameLocks noChangeAspect="1"/>
            </wp:cNvGraphicFramePr>
            <a:graphic>
              <a:graphicData uri="http://schemas.openxmlformats.org/drawingml/2006/picture">
                <pic:pic>
                  <pic:nvPicPr>
                    <pic:cNvPr id="0" name="cp4_confusion_matrix.png"/>
                    <pic:cNvPicPr/>
                  </pic:nvPicPr>
                  <pic:blipFill>
                    <a:blip r:embed="rId19"/>
                    <a:stretch>
                      <a:fillRect/>
                    </a:stretch>
                  </pic:blipFill>
                  <pic:spPr>
                    <a:xfrm>
                      <a:off x="0" y="0"/>
                      <a:ext cx="3108960" cy="2571066"/>
                    </a:xfrm>
                    <a:prstGeom prst="rect"/>
                  </pic:spPr>
                </pic:pic>
              </a:graphicData>
            </a:graphic>
          </wp:inline>
        </w:drawing>
      </w:r>
    </w:p>
    <w:p>
      <w:pPr>
        <w:pStyle w:val="Caption"/>
        <w:jc w:val="center"/>
      </w:pPr>
      <w:r>
        <w:t>Figure 9. Confusion matrix for predicting Low Recommendation (test set)</w:t>
      </w:r>
    </w:p>
    <w:p>
      <w:pPr>
        <w:jc w:val="both"/>
      </w:pPr>
      <w:r>
        <w:rPr>
          <w:b w:val="0"/>
          <w:i w:val="0"/>
        </w:rPr>
        <w:t xml:space="preserve">On the test set the classifier reaches </w:t>
      </w:r>
      <w:r>
        <w:rPr>
          <w:b/>
          <w:i w:val="0"/>
        </w:rPr>
        <w:t>94.6% accuracy</w:t>
      </w:r>
      <w:r>
        <w:rPr>
          <w:b w:val="0"/>
          <w:i w:val="0"/>
        </w:rPr>
        <w:t xml:space="preserve"> against 84.0% for always predicting “not low”. Precision is 86.6% (of patrons flagged low, that share truly are) and recall is 78.3% (of all truly low cases, that share are caught): 452 of 577 low cases were found with 70 false alarms.</w:t>
      </w:r>
    </w:p>
    <w:p>
      <w:pPr>
        <w:pStyle w:val="Heading2"/>
      </w:pPr>
      <w:r>
        <w:t>7.5 Business Predictions and Actionable Recommendations</w:t>
      </w:r>
    </w:p>
    <w:p>
      <w:pPr>
        <w:pStyle w:val="ListBullet"/>
        <w:spacing w:line="360" w:lineRule="auto"/>
      </w:pPr>
      <w:r>
        <w:rPr>
          <w:b/>
        </w:rPr>
        <w:t>Prediction 1 — New patrons will keep receiving weaker recommendations until they build history.</w:t>
      </w:r>
      <w:r>
        <w:rPr>
          <w:b w:val="0"/>
        </w:rPr>
        <w:t xml:space="preserve"> A typical new patron is predicted at 0.50 versus 0.57 for an established one (a gap of about 0.07). Because the cold-start flag is not significant once borrowing frequency is known, helping new patrons borrow earlier should close most of the gap.</w:t>
      </w:r>
    </w:p>
    <w:p>
      <w:pPr>
        <w:pStyle w:val="ListBullet"/>
        <w:spacing w:line="360" w:lineRule="auto"/>
      </w:pPr>
      <w:r>
        <w:rPr>
          <w:b/>
        </w:rPr>
        <w:t>Prediction 2 — Each extra 5 borrows raises the expected score by about 0.018; 30 more minutes of reading adds about 0.022.</w:t>
      </w:r>
      <w:r>
        <w:rPr>
          <w:b w:val="0"/>
        </w:rPr>
        <w:t xml:space="preserve"> Engagement programs (reading challenges, reminders) are the most powerful levers available to the library.</w:t>
      </w:r>
    </w:p>
    <w:p>
      <w:pPr>
        <w:pStyle w:val="ListBullet"/>
        <w:spacing w:line="360" w:lineRule="auto"/>
      </w:pPr>
      <w:r>
        <w:rPr>
          <w:b/>
        </w:rPr>
        <w:t>Prediction 3 — About one in six events is expected to receive a Low Recommendation, and the classifier can identify roughly 78% of them.</w:t>
      </w:r>
      <w:r>
        <w:rPr>
          <w:b w:val="0"/>
        </w:rPr>
        <w:t xml:space="preserve"> Running it on current patrons produces a priority outreach list before patrons become disengaged.</w:t>
      </w:r>
    </w:p>
    <w:p>
      <w:pPr>
        <w:pStyle w:val="ListBullet"/>
        <w:spacing w:line="360" w:lineRule="auto"/>
      </w:pPr>
      <w:r>
        <w:rPr>
          <w:b/>
        </w:rPr>
        <w:t>Prediction 4 — Improving metadata and patron interest data gives smaller but real gains:</w:t>
      </w:r>
      <w:r>
        <w:rPr>
          <w:b w:val="0"/>
        </w:rPr>
        <w:t xml:space="preserve"> +0.10 in metadata match adds about 0.011, comparable to adding two renewals.</w:t>
      </w:r>
    </w:p>
    <w:p>
      <w:pPr>
        <w:pStyle w:val="Heading2"/>
      </w:pPr>
      <w:r>
        <w:t>7.6 Assumptions, Limitations and Conditions</w:t>
      </w:r>
    </w:p>
    <w:p>
      <w:pPr>
        <w:pStyle w:val="ListBullet"/>
        <w:spacing w:line="360" w:lineRule="auto"/>
      </w:pPr>
      <w:r>
        <w:rPr>
          <w:b/>
        </w:rPr>
        <w:t>Synthetic data.</w:t>
      </w:r>
      <w:r>
        <w:rPr>
          <w:b w:val="0"/>
        </w:rPr>
        <w:t xml:space="preserve"> The recommendation score is produced by an algorithm, so an R² of 0.91 means we have largely reconstructed how the score is computed from its inputs. It is not evidence that these factors cause real patrons to behave a certain way.</w:t>
      </w:r>
    </w:p>
    <w:p>
      <w:pPr>
        <w:pStyle w:val="ListBullet"/>
        <w:spacing w:line="360" w:lineRule="auto"/>
      </w:pPr>
      <w:r>
        <w:rPr>
          <w:b/>
        </w:rPr>
        <w:t>Association, not causation.</w:t>
      </w:r>
      <w:r>
        <w:rPr>
          <w:b w:val="0"/>
        </w:rPr>
        <w:t xml:space="preserve"> The what-if predictions describe how the score changes in the data, not what will happen if the library changes patron behavior.</w:t>
      </w:r>
    </w:p>
    <w:p>
      <w:pPr>
        <w:pStyle w:val="ListBullet"/>
        <w:spacing w:line="360" w:lineRule="auto"/>
      </w:pPr>
      <w:r>
        <w:rPr>
          <w:b/>
        </w:rPr>
        <w:t>Linear-model assumptions.</w:t>
      </w:r>
      <w:r>
        <w:rPr>
          <w:b w:val="0"/>
        </w:rPr>
        <w:t xml:space="preserve"> The relationships are treated as linear and additive; the actual-versus-predicted plot shows a tight linear fit across the range, and no predictor pair is strongly collinear. Residual normality was not formally tested.</w:t>
      </w:r>
    </w:p>
    <w:p>
      <w:pPr>
        <w:pStyle w:val="ListBullet"/>
        <w:spacing w:line="360" w:lineRule="auto"/>
      </w:pPr>
      <w:r>
        <w:rPr>
          <w:b/>
        </w:rPr>
        <w:t>Scope.</w:t>
      </w:r>
      <w:r>
        <w:rPr>
          <w:b w:val="0"/>
        </w:rPr>
        <w:t xml:space="preserve"> Predictions are valid only within observed ranges (e.g., Borrowing Frequency 1–45) and for this library's patron mix. There is no time dimension, so the model cannot forecast future trends.</w:t>
      </w:r>
    </w:p>
    <w:p>
      <w:pPr>
        <w:pStyle w:val="ListBullet"/>
        <w:spacing w:line="360" w:lineRule="auto"/>
      </w:pPr>
      <w:r>
        <w:rPr>
          <w:b/>
        </w:rPr>
        <w:t>Class imbalance.</w:t>
      </w:r>
      <w:r>
        <w:rPr>
          <w:b w:val="0"/>
        </w:rPr>
        <w:t xml:space="preserve"> Low Recommendation is only 16% of events, so accuracy alone flatters the classifier; we therefore report precision and recall as well.</w:t>
      </w:r>
    </w:p>
    <w:p>
      <w:r>
        <w:br w:type="page"/>
      </w:r>
    </w:p>
    <w:p>
      <w:pPr>
        <w:pStyle w:val="Heading1"/>
      </w:pPr>
      <w:r>
        <w:t>8. Ethics and Governance</w:t>
      </w:r>
    </w:p>
    <w:p>
      <w:pPr>
        <w:pStyle w:val="Heading2"/>
      </w:pPr>
      <w:r>
        <w:t>8.1 Privacy Considerations</w:t>
      </w:r>
    </w:p>
    <w:p>
      <w:pPr>
        <w:jc w:val="both"/>
      </w:pPr>
      <w:r>
        <w:rPr>
          <w:b w:val="0"/>
          <w:i w:val="0"/>
        </w:rPr>
        <w:t>The dataset contains no names, contact details, student numbers or other direct identifiers. Each patron is represented by a pseudonymous code (e.g., USR_10001), and the attributes recorded are patron type, department, and behavioral measures such as borrowing frequency, reading duration, searches and ratings. Although these fields look harmless, reading behavior is sensitive: what a person borrows and reads can reveal their interests, beliefs, health concerns or academic struggles, and librarianship has long treated reading records as confidential. Our data are synthetic, so no real person's reading history is exposed in this project. Had we used real circulation data, we would have needed written permission from the library, removal of direct identifiers, and aggregation so that small groups (for example, a single research scholar in one department) could not be re-identified.</w:t>
      </w:r>
    </w:p>
    <w:p>
      <w:pPr>
        <w:pStyle w:val="Heading2"/>
      </w:pPr>
      <w:r>
        <w:t>8.2 Ethical Issues and Bias</w:t>
      </w:r>
    </w:p>
    <w:p>
      <w:pPr>
        <w:jc w:val="both"/>
      </w:pPr>
      <w:r>
        <w:rPr>
          <w:b w:val="0"/>
          <w:i w:val="0"/>
        </w:rPr>
        <w:t>First, the data are synthetic and almost perfectly balanced, so they cannot reveal real-world biases and could give a false impression that the library serves all groups fairly. Second, our central finding is itself a fairness issue: cold-start patrons receive recommendation scores about 17% lower despite equal effort and equal satisfaction. If a library used these scores to decide who receives promotions, purchase priority or staff attention, new students, often first-year undergraduates, would be systematically disadvantaged simply for being new. Third, the segments and the irregular-borrowing flag could be misused to label individuals, for example treating “Casual / At-Risk Patrons” as unmotivated or penalizing “irregular” borrowers, when low borrowing may reflect limited time, part-time work, or access problems. We therefore use segments only to design supportive services, never to restrict access, impose fines, or evaluate individual students or faculty. Fourth, the classification model has errors: in our test, 125 genuinely low-recommendation cases were missed and 70 patrons were flagged incorrectly, so no decision about a person should rest on the model alone without human review.</w:t>
      </w:r>
    </w:p>
    <w:p>
      <w:pPr>
        <w:pStyle w:val="Heading2"/>
      </w:pPr>
      <w:r>
        <w:t>8.3 Data Governance</w:t>
      </w:r>
    </w:p>
    <w:p>
      <w:pPr>
        <w:jc w:val="both"/>
      </w:pPr>
      <w:r>
        <w:rPr>
          <w:b w:val="0"/>
          <w:i w:val="0"/>
        </w:rPr>
        <w:t>The dataset is published on Kaggle under its own terms and is used here only for coursework; the group does not own it. In a real deployment the library, as the data controller, would own the circulation data and be accountable for it, with the institution's Data Protection Officer overseeing its use. A responsible governance framework for this dataset would include: (1) a clear, documented purpose limited to improving library services; (2) data minimization, collecting only fields needed for that purpose; (3) role-based access, with analysts seeing pseudonymized data only; (4) retention limits, deleting event-level records after a set period; (5) a documented model-review process that checks recommendation quality across patron groups (such as cold-start versus established) at least each semester; (6) transparency, so patrons are told that their activity informs recommendations and can opt out of profiling; and (7) an incident-response procedure for any data breach.</w:t>
      </w:r>
    </w:p>
    <w:p>
      <w:pPr>
        <w:pStyle w:val="Heading2"/>
      </w:pPr>
      <w:r>
        <w:t>8.4 Regulatory Awareness</w:t>
      </w:r>
    </w:p>
    <w:p>
      <w:pPr>
        <w:jc w:val="both"/>
      </w:pPr>
      <w:r>
        <w:rPr>
          <w:b w:val="0"/>
          <w:i w:val="0"/>
        </w:rPr>
        <w:t>In the Philippines, the Data Privacy Act of 2012 (Republic Act No. 10173) governs personal information. Its principles of transparency, legitimate purpose and proportionality apply directly: patrons must be informed how their reading data is processed, the processing must serve a declared and legitimate purpose, and only data necessary for that purpose may be used. The Act also gives data subjects rights of access and correction, and requires organizations to protect personal data and report serious breaches to the National Privacy Commission. The European Union's General Data Protection Regulation (GDPR) offers a similar conceptual benchmark, notably data minimization, purpose limitation, and the right not to be subject to solely automated decisions with significant effects, which supports our position that model outputs should inform, not replace, human decisions. Because our data are synthetic and contain no identifiable persons, RA 10173 does not restrict this project, but we designed our methods and recommendations to comply with it should the library apply them to real data.</w:t>
      </w:r>
    </w:p>
    <w:p>
      <w:r>
        <w:br w:type="page"/>
      </w:r>
    </w:p>
    <w:p>
      <w:pPr>
        <w:pStyle w:val="Heading1"/>
      </w:pPr>
      <w:r>
        <w:t>9. Conclusions and Recommendations</w:t>
      </w:r>
    </w:p>
    <w:p>
      <w:pPr>
        <w:pStyle w:val="Heading2"/>
      </w:pPr>
      <w:r>
        <w:t>9.1 Conclusions</w:t>
      </w:r>
    </w:p>
    <w:p>
      <w:pPr>
        <w:spacing w:after="40"/>
      </w:pPr>
      <w:r>
        <w:rPr>
          <w:b w:val="0"/>
          <w:i w:val="0"/>
        </w:rPr>
        <w:t>Returning to the three business questions:</w:t>
      </w:r>
    </w:p>
    <w:p>
      <w:pPr>
        <w:pStyle w:val="ListBullet"/>
        <w:spacing w:line="360" w:lineRule="auto"/>
      </w:pPr>
      <w:r>
        <w:rPr>
          <w:b/>
        </w:rPr>
        <w:t>BQ1 (irregular borrowing):</w:t>
      </w:r>
      <w:r>
        <w:rPr>
          <w:b w:val="0"/>
        </w:rPr>
        <w:t xml:space="preserve"> About 16% of events are flagged irregular in every patron type and department. Medicine and Computer Science are highest, but the differences are too small to be statistically meaningful, so irregular borrowing is a library-wide behavior.</w:t>
      </w:r>
    </w:p>
    <w:p>
      <w:pPr>
        <w:pStyle w:val="ListBullet"/>
        <w:spacing w:line="360" w:lineRule="auto"/>
      </w:pPr>
      <w:r>
        <w:rPr>
          <w:b/>
        </w:rPr>
        <w:t>BQ2 (engagement):</w:t>
      </w:r>
      <w:r>
        <w:rPr>
          <w:b w:val="0"/>
        </w:rPr>
        <w:t xml:space="preserve"> Book format and patron type make little difference. Artificial Intelligence and Data Science have slightly higher recent borrowing, but the overall engagement pattern is balanced. Differences in individual behavior (borrowing frequency and reading duration) matter far more than differences in what is borrowed.</w:t>
      </w:r>
    </w:p>
    <w:p>
      <w:pPr>
        <w:pStyle w:val="ListBullet"/>
        <w:spacing w:line="360" w:lineRule="auto"/>
      </w:pPr>
      <w:r>
        <w:rPr>
          <w:b/>
        </w:rPr>
        <w:t>BQ3 (cold-start patrons):</w:t>
      </w:r>
      <w:r>
        <w:rPr>
          <w:b w:val="0"/>
        </w:rPr>
        <w:t xml:space="preserve"> New patrons are underserved (0.478 versus 0.574), and the multiple regression shows why: their score is lower because they have little borrowing history, not because of the cold-start label itself. The gap can therefore be narrowed by helping new patrons engage sooner.</w:t>
      </w:r>
    </w:p>
    <w:p>
      <w:pPr>
        <w:pStyle w:val="Heading2"/>
      </w:pPr>
      <w:r>
        <w:t>9.2 Recommendations</w:t>
      </w:r>
    </w:p>
    <w:p>
      <w:pPr>
        <w:pStyle w:val="Caption"/>
        <w:keepNext/>
      </w:pPr>
      <w:r>
        <w:t>Table 9. Recommended actions, supporting evidence and expected effect</w:t>
      </w:r>
    </w:p>
    <w:tbl>
      <w:tblPr>
        <w:tblStyle w:val="TableGrid"/>
        <w:tblW w:type="auto" w:w="0"/>
        <w:jc w:val="center"/>
        <w:tblLayout w:type="fixed"/>
        <w:tblLook w:firstColumn="1" w:firstRow="1" w:lastColumn="0" w:lastRow="0" w:noHBand="0" w:noVBand="1" w:val="04A0"/>
      </w:tblPr>
      <w:tblGrid>
        <w:gridCol w:w="432"/>
        <w:gridCol w:w="3312"/>
        <w:gridCol w:w="3024"/>
        <w:gridCol w:w="2592"/>
      </w:tblGrid>
      <w:tr>
        <w:trPr>
          <w:tblHeader w:val="true"/>
          <w:cantSplit/>
        </w:trPr>
        <w:tc>
          <w:tcPr>
            <w:tcW w:type="dxa" w:w="432"/>
            <w:shd w:val="clear" w:color="auto" w:fill="1F4E79"/>
          </w:tcPr>
          <w:p>
            <w:pPr>
              <w:spacing w:line="240" w:lineRule="auto" w:after="40"/>
            </w:pPr>
            <w:r/>
            <w:r>
              <w:rPr>
                <w:b/>
                <w:color w:val="FFFFFF"/>
                <w:sz w:val="17"/>
              </w:rPr>
              <w:t>#</w:t>
            </w:r>
          </w:p>
        </w:tc>
        <w:tc>
          <w:tcPr>
            <w:tcW w:type="dxa" w:w="3312"/>
            <w:shd w:val="clear" w:color="auto" w:fill="1F4E79"/>
          </w:tcPr>
          <w:p>
            <w:pPr>
              <w:spacing w:line="240" w:lineRule="auto" w:after="40"/>
            </w:pPr>
            <w:r/>
            <w:r>
              <w:rPr>
                <w:b/>
                <w:color w:val="FFFFFF"/>
                <w:sz w:val="17"/>
              </w:rPr>
              <w:t>Recommendation</w:t>
            </w:r>
          </w:p>
        </w:tc>
        <w:tc>
          <w:tcPr>
            <w:tcW w:type="dxa" w:w="3024"/>
            <w:shd w:val="clear" w:color="auto" w:fill="1F4E79"/>
          </w:tcPr>
          <w:p>
            <w:pPr>
              <w:spacing w:line="240" w:lineRule="auto" w:after="40"/>
            </w:pPr>
            <w:r/>
            <w:r>
              <w:rPr>
                <w:b/>
                <w:color w:val="FFFFFF"/>
                <w:sz w:val="17"/>
              </w:rPr>
              <w:t>Evidence</w:t>
            </w:r>
          </w:p>
        </w:tc>
        <w:tc>
          <w:tcPr>
            <w:tcW w:type="dxa" w:w="2592"/>
            <w:shd w:val="clear" w:color="auto" w:fill="1F4E79"/>
          </w:tcPr>
          <w:p>
            <w:pPr>
              <w:spacing w:line="240" w:lineRule="auto" w:after="40"/>
            </w:pPr>
            <w:r/>
            <w:r>
              <w:rPr>
                <w:b/>
                <w:color w:val="FFFFFF"/>
                <w:sz w:val="17"/>
              </w:rPr>
              <w:t>Expected effect</w:t>
            </w:r>
          </w:p>
        </w:tc>
      </w:tr>
      <w:tr>
        <w:trPr>
          <w:cantSplit/>
        </w:trPr>
        <w:tc>
          <w:tcPr>
            <w:tcW w:type="dxa" w:w="432"/>
          </w:tcPr>
          <w:p>
            <w:pPr>
              <w:spacing w:line="240" w:lineRule="auto" w:after="40"/>
            </w:pPr>
            <w:r/>
            <w:r>
              <w:rPr>
                <w:sz w:val="17"/>
              </w:rPr>
              <w:t>1</w:t>
            </w:r>
          </w:p>
        </w:tc>
        <w:tc>
          <w:tcPr>
            <w:tcW w:type="dxa" w:w="3312"/>
          </w:tcPr>
          <w:p>
            <w:pPr>
              <w:spacing w:line="240" w:lineRule="auto" w:after="40"/>
            </w:pPr>
            <w:r/>
            <w:r>
              <w:rPr>
                <w:sz w:val="17"/>
              </w:rPr>
              <w:t>Launch a fast-start onboarding path: guided first-loan lists, a short interest profile at sign-up, and a prompt after the first borrow</w:t>
            </w:r>
          </w:p>
        </w:tc>
        <w:tc>
          <w:tcPr>
            <w:tcW w:type="dxa" w:w="3024"/>
          </w:tcPr>
          <w:p>
            <w:pPr>
              <w:spacing w:line="240" w:lineRule="auto" w:after="40"/>
            </w:pPr>
            <w:r/>
            <w:r>
              <w:rPr>
                <w:sz w:val="17"/>
              </w:rPr>
              <w:t>Cold-start score 0.478 vs 0.574; cold-start flag not significant after borrowing frequency; new patrons average 3 borrows</w:t>
            </w:r>
          </w:p>
        </w:tc>
        <w:tc>
          <w:tcPr>
            <w:tcW w:type="dxa" w:w="2592"/>
          </w:tcPr>
          <w:p>
            <w:pPr>
              <w:spacing w:line="240" w:lineRule="auto" w:after="40"/>
            </w:pPr>
            <w:r/>
            <w:r>
              <w:rPr>
                <w:sz w:val="17"/>
              </w:rPr>
              <w:t>Closes most of the ~0.07 score gap by speeding up history building</w:t>
            </w:r>
          </w:p>
        </w:tc>
      </w:tr>
      <w:tr>
        <w:trPr>
          <w:cantSplit/>
        </w:trPr>
        <w:tc>
          <w:tcPr>
            <w:tcW w:type="dxa" w:w="432"/>
          </w:tcPr>
          <w:p>
            <w:pPr>
              <w:spacing w:line="240" w:lineRule="auto" w:after="40"/>
            </w:pPr>
            <w:r/>
            <w:r>
              <w:rPr>
                <w:sz w:val="17"/>
              </w:rPr>
              <w:t>2</w:t>
            </w:r>
          </w:p>
        </w:tc>
        <w:tc>
          <w:tcPr>
            <w:tcW w:type="dxa" w:w="3312"/>
          </w:tcPr>
          <w:p>
            <w:pPr>
              <w:spacing w:line="240" w:lineRule="auto" w:after="40"/>
            </w:pPr>
            <w:r/>
            <w:r>
              <w:rPr>
                <w:sz w:val="17"/>
              </w:rPr>
              <w:t>Run segment-specific nudges: loan reminders for Occasional Deep Readers; “read next” lists for Quick Borrowers; check-ins for Casual / At-Risk Patrons</w:t>
            </w:r>
          </w:p>
        </w:tc>
        <w:tc>
          <w:tcPr>
            <w:tcW w:type="dxa" w:w="3024"/>
          </w:tcPr>
          <w:p>
            <w:pPr>
              <w:spacing w:line="240" w:lineRule="auto" w:after="40"/>
            </w:pPr>
            <w:r/>
            <w:r>
              <w:rPr>
                <w:sz w:val="17"/>
              </w:rPr>
              <w:t>Segments differ in borrow frequency, reading time and score (0.478–0.641)</w:t>
            </w:r>
          </w:p>
        </w:tc>
        <w:tc>
          <w:tcPr>
            <w:tcW w:type="dxa" w:w="2592"/>
          </w:tcPr>
          <w:p>
            <w:pPr>
              <w:spacing w:line="240" w:lineRule="auto" w:after="40"/>
            </w:pPr>
            <w:r/>
            <w:r>
              <w:rPr>
                <w:sz w:val="17"/>
              </w:rPr>
              <w:t>Each +5 borrows lifts expected score by ~0.018; 30 more minutes reading by ~0.022</w:t>
            </w:r>
          </w:p>
        </w:tc>
      </w:tr>
      <w:tr>
        <w:trPr>
          <w:cantSplit/>
        </w:trPr>
        <w:tc>
          <w:tcPr>
            <w:tcW w:type="dxa" w:w="432"/>
          </w:tcPr>
          <w:p>
            <w:pPr>
              <w:spacing w:line="240" w:lineRule="auto" w:after="40"/>
            </w:pPr>
            <w:r/>
            <w:r>
              <w:rPr>
                <w:sz w:val="17"/>
              </w:rPr>
              <w:t>3</w:t>
            </w:r>
          </w:p>
        </w:tc>
        <w:tc>
          <w:tcPr>
            <w:tcW w:type="dxa" w:w="3312"/>
          </w:tcPr>
          <w:p>
            <w:pPr>
              <w:spacing w:line="240" w:lineRule="auto" w:after="40"/>
            </w:pPr>
            <w:r/>
            <w:r>
              <w:rPr>
                <w:sz w:val="17"/>
              </w:rPr>
              <w:t>Apply irregular-borrowing reminders and outreach library-wide, not department by department</w:t>
            </w:r>
          </w:p>
        </w:tc>
        <w:tc>
          <w:tcPr>
            <w:tcW w:type="dxa" w:w="3024"/>
          </w:tcPr>
          <w:p>
            <w:pPr>
              <w:spacing w:line="240" w:lineRule="auto" w:after="40"/>
            </w:pPr>
            <w:r/>
            <w:r>
              <w:rPr>
                <w:sz w:val="17"/>
              </w:rPr>
              <w:t>Department rates 14.9%–17.1%, chi-square p = 0.81</w:t>
            </w:r>
          </w:p>
        </w:tc>
        <w:tc>
          <w:tcPr>
            <w:tcW w:type="dxa" w:w="2592"/>
          </w:tcPr>
          <w:p>
            <w:pPr>
              <w:spacing w:line="240" w:lineRule="auto" w:after="40"/>
            </w:pPr>
            <w:r/>
            <w:r>
              <w:rPr>
                <w:sz w:val="17"/>
              </w:rPr>
              <w:t>Avoids wasting effort on differences that are not real</w:t>
            </w:r>
          </w:p>
        </w:tc>
      </w:tr>
      <w:tr>
        <w:trPr>
          <w:cantSplit/>
        </w:trPr>
        <w:tc>
          <w:tcPr>
            <w:tcW w:type="dxa" w:w="432"/>
          </w:tcPr>
          <w:p>
            <w:pPr>
              <w:spacing w:line="240" w:lineRule="auto" w:after="40"/>
            </w:pPr>
            <w:r/>
            <w:r>
              <w:rPr>
                <w:sz w:val="17"/>
              </w:rPr>
              <w:t>4</w:t>
            </w:r>
          </w:p>
        </w:tc>
        <w:tc>
          <w:tcPr>
            <w:tcW w:type="dxa" w:w="3312"/>
          </w:tcPr>
          <w:p>
            <w:pPr>
              <w:spacing w:line="240" w:lineRule="auto" w:after="40"/>
            </w:pPr>
            <w:r/>
            <w:r>
              <w:rPr>
                <w:sz w:val="17"/>
              </w:rPr>
              <w:t>Improve book metadata quality and collect richer patron interests</w:t>
            </w:r>
          </w:p>
        </w:tc>
        <w:tc>
          <w:tcPr>
            <w:tcW w:type="dxa" w:w="3024"/>
          </w:tcPr>
          <w:p>
            <w:pPr>
              <w:spacing w:line="240" w:lineRule="auto" w:after="40"/>
            </w:pPr>
            <w:r/>
            <w:r>
              <w:rPr>
                <w:sz w:val="17"/>
              </w:rPr>
              <w:t>Metadata match, interest and similarity are significant predictors</w:t>
            </w:r>
          </w:p>
        </w:tc>
        <w:tc>
          <w:tcPr>
            <w:tcW w:type="dxa" w:w="2592"/>
          </w:tcPr>
          <w:p>
            <w:pPr>
              <w:spacing w:line="240" w:lineRule="auto" w:after="40"/>
            </w:pPr>
            <w:r/>
            <w:r>
              <w:rPr>
                <w:sz w:val="17"/>
              </w:rPr>
              <w:t>Gradual score gains (+0.10 metadata ≈ +0.011)</w:t>
            </w:r>
          </w:p>
        </w:tc>
      </w:tr>
      <w:tr>
        <w:trPr>
          <w:cantSplit/>
        </w:trPr>
        <w:tc>
          <w:tcPr>
            <w:tcW w:type="dxa" w:w="432"/>
          </w:tcPr>
          <w:p>
            <w:pPr>
              <w:spacing w:line="240" w:lineRule="auto" w:after="40"/>
            </w:pPr>
            <w:r/>
            <w:r>
              <w:rPr>
                <w:sz w:val="17"/>
              </w:rPr>
              <w:t>5</w:t>
            </w:r>
          </w:p>
        </w:tc>
        <w:tc>
          <w:tcPr>
            <w:tcW w:type="dxa" w:w="3312"/>
          </w:tcPr>
          <w:p>
            <w:pPr>
              <w:spacing w:line="240" w:lineRule="auto" w:after="40"/>
            </w:pPr>
            <w:r/>
            <w:r>
              <w:rPr>
                <w:sz w:val="17"/>
              </w:rPr>
              <w:t>Use the Low-Recommendation classifier as a weekly early-warning list for librarian follow-up, with human review</w:t>
            </w:r>
          </w:p>
        </w:tc>
        <w:tc>
          <w:tcPr>
            <w:tcW w:type="dxa" w:w="3024"/>
          </w:tcPr>
          <w:p>
            <w:pPr>
              <w:spacing w:line="240" w:lineRule="auto" w:after="40"/>
            </w:pPr>
            <w:r/>
            <w:r>
              <w:rPr>
                <w:sz w:val="17"/>
              </w:rPr>
              <w:t>94.6% accuracy, 78% recall</w:t>
            </w:r>
          </w:p>
        </w:tc>
        <w:tc>
          <w:tcPr>
            <w:tcW w:type="dxa" w:w="2592"/>
          </w:tcPr>
          <w:p>
            <w:pPr>
              <w:spacing w:line="240" w:lineRule="auto" w:after="40"/>
            </w:pPr>
            <w:r/>
            <w:r>
              <w:rPr>
                <w:sz w:val="17"/>
              </w:rPr>
              <w:t>Reaches at-risk patrons before they disengage</w:t>
            </w:r>
          </w:p>
        </w:tc>
      </w:tr>
    </w:tbl>
    <w:p>
      <w:pPr>
        <w:spacing w:after="40"/>
      </w:pPr>
    </w:p>
    <w:p>
      <w:pPr>
        <w:jc w:val="both"/>
      </w:pPr>
      <w:r>
        <w:rPr>
          <w:b/>
          <w:i w:val="0"/>
        </w:rPr>
        <w:t>Collection note:</w:t>
      </w:r>
      <w:r>
        <w:rPr>
          <w:b w:val="0"/>
          <w:i w:val="0"/>
        </w:rPr>
        <w:t xml:space="preserve"> because category and format demand are nearly even, the library should not shift acquisition budgets sharply toward any one category or format on the strength of this data; a small priority for Artificial Intelligence and Data Science titles is the most the evidence supports.</w:t>
      </w:r>
    </w:p>
    <w:p>
      <w:pPr>
        <w:pStyle w:val="Heading2"/>
      </w:pPr>
      <w:r>
        <w:t>9.3 Limitations and Future Work</w:t>
      </w:r>
    </w:p>
    <w:p>
      <w:pPr>
        <w:jc w:val="both"/>
      </w:pPr>
      <w:r>
        <w:rPr>
          <w:b w:val="0"/>
          <w:i w:val="0"/>
        </w:rPr>
        <w:t>All findings should be validated with the library's real circulation records, ideally with dates so that true trends and seasonality (Task 2.5) can be analyzed. With real data, a decision-tree or gradient-boosting model, patron-level longitudinal tracking and a fairness audit by patron group would be natural next steps, and a pilot of the onboarding path could measure whether new patrons' recommendation quality actually improves.</w:t>
      </w:r>
    </w:p>
    <w:p>
      <w:r>
        <w:br w:type="page"/>
      </w:r>
    </w:p>
    <w:p>
      <w:pPr>
        <w:pStyle w:val="Heading1"/>
      </w:pPr>
      <w:r>
        <w:t>10. References</w:t>
      </w:r>
    </w:p>
    <w:p>
      <w:pPr>
        <w:ind w:left="720" w:hanging="720"/>
      </w:pPr>
      <w:r>
        <w:rPr>
          <w:i w:val="0"/>
        </w:rPr>
        <w:t xml:space="preserve">Colabsss. (n.d.). </w:t>
      </w:r>
      <w:r>
        <w:rPr>
          <w:i/>
        </w:rPr>
        <w:t>Academic digital library book recommendation dataset</w:t>
      </w:r>
      <w:r>
        <w:rPr>
          <w:i w:val="0"/>
        </w:rPr>
        <w:t xml:space="preserve"> [Data set]. Kaggle. https://www.kaggle.com/datasets/colabsss/academic-library-book-recommendation-data</w:t>
      </w:r>
    </w:p>
    <w:p>
      <w:pPr>
        <w:ind w:left="720" w:hanging="720"/>
      </w:pPr>
      <w:r>
        <w:rPr>
          <w:i w:val="0"/>
        </w:rPr>
        <w:t xml:space="preserve">Hunter, J. D. (2007). Matplotlib: A 2D graphics environment. </w:t>
      </w:r>
      <w:r>
        <w:rPr>
          <w:i/>
        </w:rPr>
        <w:t>Computing in Science &amp; Engineering, 9</w:t>
      </w:r>
      <w:r>
        <w:rPr>
          <w:i w:val="0"/>
        </w:rPr>
        <w:t>(3), 90–95. https://doi.org/10.1109/MCSE.2007.55</w:t>
      </w:r>
    </w:p>
    <w:p>
      <w:pPr>
        <w:ind w:left="720" w:hanging="720"/>
      </w:pPr>
      <w:r>
        <w:rPr>
          <w:i w:val="0"/>
        </w:rPr>
        <w:t xml:space="preserve">MacQueen, J. (1967). Some methods for classification and analysis of multivariate observations. In </w:t>
      </w:r>
      <w:r>
        <w:rPr>
          <w:i/>
        </w:rPr>
        <w:t>Proceedings of the Fifth Berkeley Symposium on Mathematical Statistics and Probability</w:t>
      </w:r>
      <w:r>
        <w:rPr>
          <w:i w:val="0"/>
        </w:rPr>
        <w:t xml:space="preserve"> (Vol. 1, pp. 281–297). University of California Press.</w:t>
      </w:r>
    </w:p>
    <w:p>
      <w:pPr>
        <w:ind w:left="720" w:hanging="720"/>
      </w:pPr>
      <w:r>
        <w:rPr>
          <w:i w:val="0"/>
        </w:rPr>
        <w:t xml:space="preserve">McKinney, W. (2010). Data structures for statistical computing in Python. In </w:t>
      </w:r>
      <w:r>
        <w:rPr>
          <w:i/>
        </w:rPr>
        <w:t>Proceedings of the 9th Python in Science Conference</w:t>
      </w:r>
      <w:r>
        <w:rPr>
          <w:i w:val="0"/>
        </w:rPr>
        <w:t xml:space="preserve"> (pp. 56–61). https://doi.org/10.25080/Majora-92bf1922-00a</w:t>
      </w:r>
    </w:p>
    <w:p>
      <w:pPr>
        <w:ind w:left="720" w:hanging="720"/>
      </w:pPr>
      <w:r>
        <w:rPr>
          <w:i w:val="0"/>
        </w:rPr>
        <w:t xml:space="preserve">Microsoft. (2026). </w:t>
      </w:r>
      <w:r>
        <w:rPr>
          <w:i/>
        </w:rPr>
        <w:t>Power BI Desktop</w:t>
      </w:r>
      <w:r>
        <w:rPr>
          <w:i w:val="0"/>
        </w:rPr>
        <w:t xml:space="preserve"> [Computer software]. Microsoft Corporation. https://powerbi.microsoft.com</w:t>
      </w:r>
    </w:p>
    <w:p>
      <w:pPr>
        <w:ind w:left="720" w:hanging="720"/>
      </w:pPr>
      <w:r>
        <w:rPr>
          <w:i w:val="0"/>
        </w:rPr>
        <w:t xml:space="preserve">Microsoft. (2026). </w:t>
      </w:r>
      <w:r>
        <w:rPr>
          <w:i/>
        </w:rPr>
        <w:t>Microsoft Excel</w:t>
      </w:r>
      <w:r>
        <w:rPr>
          <w:i w:val="0"/>
        </w:rPr>
        <w:t xml:space="preserve"> [Computer software]. Microsoft Corporation.</w:t>
      </w:r>
    </w:p>
    <w:p>
      <w:pPr>
        <w:ind w:left="720" w:hanging="720"/>
      </w:pPr>
      <w:r>
        <w:rPr>
          <w:i w:val="0"/>
        </w:rPr>
        <w:t xml:space="preserve">Oracle. (2026). </w:t>
      </w:r>
      <w:r>
        <w:rPr>
          <w:i/>
        </w:rPr>
        <w:t>MySQL</w:t>
      </w:r>
      <w:r>
        <w:rPr>
          <w:i w:val="0"/>
        </w:rPr>
        <w:t xml:space="preserve"> [Computer software]. Oracle Corporation. https://www.mysql.com</w:t>
      </w:r>
    </w:p>
    <w:p>
      <w:pPr>
        <w:ind w:left="720" w:hanging="720"/>
      </w:pPr>
      <w:r>
        <w:rPr>
          <w:i w:val="0"/>
        </w:rPr>
        <w:t xml:space="preserve">Pedregosa, F., Varoquaux, G., Gramfort, A., Michel, V., Thirion, B., Grisel, O., … Duchesne, É. (2011). Scikit-learn: Machine learning in Python. </w:t>
      </w:r>
      <w:r>
        <w:rPr>
          <w:i/>
        </w:rPr>
        <w:t>Journal of Machine Learning Research, 12</w:t>
      </w:r>
      <w:r>
        <w:rPr>
          <w:i w:val="0"/>
        </w:rPr>
        <w:t>, 2825–2830.</w:t>
      </w:r>
    </w:p>
    <w:p>
      <w:pPr>
        <w:ind w:left="720" w:hanging="720"/>
      </w:pPr>
      <w:r>
        <w:rPr>
          <w:i w:val="0"/>
        </w:rPr>
        <w:t xml:space="preserve">Republic Act No. 10173. (2012). </w:t>
      </w:r>
      <w:r>
        <w:rPr>
          <w:i/>
        </w:rPr>
        <w:t>Data Privacy Act of 2012</w:t>
      </w:r>
      <w:r>
        <w:rPr>
          <w:i w:val="0"/>
        </w:rPr>
        <w:t>. Republic of the Philippines. https://www.privacy.gov.ph/data-privacy-act/</w:t>
      </w:r>
    </w:p>
    <w:p>
      <w:pPr>
        <w:ind w:left="720" w:hanging="720"/>
      </w:pPr>
      <w:r>
        <w:rPr>
          <w:i w:val="0"/>
        </w:rPr>
        <w:t xml:space="preserve">Regulation (EU) 2016/679 of the European Parliament and of the Council of 27 April 2016 (General Data Protection Regulation). (2016). </w:t>
      </w:r>
      <w:r>
        <w:rPr>
          <w:i/>
        </w:rPr>
        <w:t>Official Journal of the European Union, L 119</w:t>
      </w:r>
      <w:r>
        <w:rPr>
          <w:i w:val="0"/>
        </w:rPr>
        <w:t>, 1–88.</w:t>
      </w:r>
    </w:p>
    <w:p>
      <w:pPr>
        <w:ind w:left="720" w:hanging="720"/>
      </w:pPr>
      <w:r>
        <w:rPr>
          <w:i w:val="0"/>
        </w:rPr>
        <w:t xml:space="preserve">Ricci, F., Rokach, L., &amp; Shapira, B. (Eds.). (2015). </w:t>
      </w:r>
      <w:r>
        <w:rPr>
          <w:i/>
        </w:rPr>
        <w:t>Recommender systems handbook</w:t>
      </w:r>
      <w:r>
        <w:rPr>
          <w:i w:val="0"/>
        </w:rPr>
        <w:t xml:space="preserve"> (2nd ed.). Springer. https://doi.org/10.1007/978-1-4899-7637-6</w:t>
      </w:r>
    </w:p>
    <w:p>
      <w:pPr>
        <w:ind w:left="720" w:hanging="720"/>
      </w:pPr>
      <w:r>
        <w:rPr>
          <w:i w:val="0"/>
        </w:rPr>
        <w:t xml:space="preserve">Rousseeuw, P. J. (1987). Silhouettes: A graphical aid to the interpretation and validation of cluster analysis. </w:t>
      </w:r>
      <w:r>
        <w:rPr>
          <w:i/>
        </w:rPr>
        <w:t>Journal of Computational and Applied Mathematics, 20</w:t>
      </w:r>
      <w:r>
        <w:rPr>
          <w:i w:val="0"/>
        </w:rPr>
        <w:t>, 53–65. https://doi.org/10.1016/0377-0427(87)90125-7</w:t>
      </w:r>
    </w:p>
    <w:p>
      <w:pPr>
        <w:ind w:left="720" w:hanging="720"/>
      </w:pPr>
      <w:r>
        <w:rPr>
          <w:i w:val="0"/>
        </w:rPr>
        <w:t xml:space="preserve">Seabold, S., &amp; Perktold, J. (2010). Statsmodels: Econometric and statistical modeling with Python. In </w:t>
      </w:r>
      <w:r>
        <w:rPr>
          <w:i/>
        </w:rPr>
        <w:t>Proceedings of the 9th Python in Science Conference</w:t>
      </w:r>
      <w:r>
        <w:rPr>
          <w:i w:val="0"/>
        </w:rPr>
        <w:t xml:space="preserve"> (pp. 92–96). https://doi.org/10.25080/Majora-92bf1922-011</w:t>
      </w:r>
    </w:p>
    <w:p>
      <w:r>
        <w:br w:type="page"/>
      </w:r>
    </w:p>
    <w:p>
      <w:pPr>
        <w:pStyle w:val="Heading1"/>
      </w:pPr>
      <w:r>
        <w:t>11. Appendix</w:t>
      </w:r>
    </w:p>
    <w:p>
      <w:pPr>
        <w:pStyle w:val="Heading2"/>
      </w:pPr>
      <w:r>
        <w:t>Appendix A — Raw Data Sample (first 10 rows)</w:t>
      </w:r>
    </w:p>
    <w:p>
      <w:pPr>
        <w:pStyle w:val="Caption"/>
        <w:keepNext/>
      </w:pPr>
      <w:r>
        <w:t>Table 10. Raw dataset preview (selected 9 of 28 columns)</w:t>
      </w:r>
    </w:p>
    <w:tbl>
      <w:tblPr>
        <w:tblStyle w:val="TableGrid"/>
        <w:tblW w:type="auto" w:w="0"/>
        <w:jc w:val="center"/>
        <w:tblLayout w:type="fixed"/>
        <w:tblLook w:firstColumn="1" w:firstRow="1" w:lastColumn="0" w:lastRow="0" w:noHBand="0" w:noVBand="1" w:val="04A0"/>
      </w:tblPr>
      <w:tblGrid>
        <w:gridCol w:w="1080"/>
        <w:gridCol w:w="1008"/>
        <w:gridCol w:w="1152"/>
        <w:gridCol w:w="1152"/>
        <w:gridCol w:w="1296"/>
        <w:gridCol w:w="1008"/>
        <w:gridCol w:w="864"/>
        <w:gridCol w:w="936"/>
        <w:gridCol w:w="864"/>
      </w:tblGrid>
      <w:tr>
        <w:trPr>
          <w:tblHeader w:val="true"/>
          <w:cantSplit/>
        </w:trPr>
        <w:tc>
          <w:tcPr>
            <w:tcW w:type="dxa" w:w="1080"/>
            <w:shd w:val="clear" w:color="auto" w:fill="1F4E79"/>
          </w:tcPr>
          <w:p>
            <w:pPr>
              <w:spacing w:line="240" w:lineRule="auto" w:after="40"/>
            </w:pPr>
            <w:r/>
            <w:r>
              <w:rPr>
                <w:b/>
                <w:color w:val="FFFFFF"/>
                <w:sz w:val="14"/>
              </w:rPr>
              <w:t>User ID</w:t>
            </w:r>
          </w:p>
        </w:tc>
        <w:tc>
          <w:tcPr>
            <w:tcW w:type="dxa" w:w="1008"/>
            <w:shd w:val="clear" w:color="auto" w:fill="1F4E79"/>
          </w:tcPr>
          <w:p>
            <w:pPr>
              <w:spacing w:line="240" w:lineRule="auto" w:after="40"/>
            </w:pPr>
            <w:r/>
            <w:r>
              <w:rPr>
                <w:b/>
                <w:color w:val="FFFFFF"/>
                <w:sz w:val="14"/>
              </w:rPr>
              <w:t>Book ID</w:t>
            </w:r>
          </w:p>
        </w:tc>
        <w:tc>
          <w:tcPr>
            <w:tcW w:type="dxa" w:w="1152"/>
            <w:shd w:val="clear" w:color="auto" w:fill="1F4E79"/>
          </w:tcPr>
          <w:p>
            <w:pPr>
              <w:spacing w:line="240" w:lineRule="auto" w:after="40"/>
            </w:pPr>
            <w:r/>
            <w:r>
              <w:rPr>
                <w:b/>
                <w:color w:val="FFFFFF"/>
                <w:sz w:val="14"/>
              </w:rPr>
              <w:t>User Type</w:t>
            </w:r>
          </w:p>
        </w:tc>
        <w:tc>
          <w:tcPr>
            <w:tcW w:type="dxa" w:w="1152"/>
            <w:shd w:val="clear" w:color="auto" w:fill="1F4E79"/>
          </w:tcPr>
          <w:p>
            <w:pPr>
              <w:spacing w:line="240" w:lineRule="auto" w:after="40"/>
            </w:pPr>
            <w:r/>
            <w:r>
              <w:rPr>
                <w:b/>
                <w:color w:val="FFFFFF"/>
                <w:sz w:val="14"/>
              </w:rPr>
              <w:t>Department</w:t>
            </w:r>
          </w:p>
        </w:tc>
        <w:tc>
          <w:tcPr>
            <w:tcW w:type="dxa" w:w="1296"/>
            <w:shd w:val="clear" w:color="auto" w:fill="1F4E79"/>
          </w:tcPr>
          <w:p>
            <w:pPr>
              <w:spacing w:line="240" w:lineRule="auto" w:after="40"/>
            </w:pPr>
            <w:r/>
            <w:r>
              <w:rPr>
                <w:b/>
                <w:color w:val="FFFFFF"/>
                <w:sz w:val="14"/>
              </w:rPr>
              <w:t>Book Category</w:t>
            </w:r>
          </w:p>
        </w:tc>
        <w:tc>
          <w:tcPr>
            <w:tcW w:type="dxa" w:w="1008"/>
            <w:shd w:val="clear" w:color="auto" w:fill="1F4E79"/>
          </w:tcPr>
          <w:p>
            <w:pPr>
              <w:spacing w:line="240" w:lineRule="auto" w:after="40"/>
            </w:pPr>
            <w:r/>
            <w:r>
              <w:rPr>
                <w:b/>
                <w:color w:val="FFFFFF"/>
                <w:sz w:val="14"/>
              </w:rPr>
              <w:t>Interaction Type</w:t>
            </w:r>
          </w:p>
        </w:tc>
        <w:tc>
          <w:tcPr>
            <w:tcW w:type="dxa" w:w="864"/>
            <w:shd w:val="clear" w:color="auto" w:fill="1F4E79"/>
          </w:tcPr>
          <w:p>
            <w:pPr>
              <w:spacing w:line="240" w:lineRule="auto" w:after="40"/>
            </w:pPr>
            <w:r/>
            <w:r>
              <w:rPr>
                <w:b/>
                <w:color w:val="FFFFFF"/>
                <w:sz w:val="14"/>
              </w:rPr>
              <w:t>Borrowing Frequency</w:t>
            </w:r>
          </w:p>
        </w:tc>
        <w:tc>
          <w:tcPr>
            <w:tcW w:type="dxa" w:w="936"/>
            <w:shd w:val="clear" w:color="auto" w:fill="1F4E79"/>
          </w:tcPr>
          <w:p>
            <w:pPr>
              <w:spacing w:line="240" w:lineRule="auto" w:after="40"/>
            </w:pPr>
            <w:r/>
            <w:r>
              <w:rPr>
                <w:b/>
                <w:color w:val="FFFFFF"/>
                <w:sz w:val="14"/>
              </w:rPr>
              <w:t>Recommendation Score</w:t>
            </w:r>
          </w:p>
        </w:tc>
        <w:tc>
          <w:tcPr>
            <w:tcW w:type="dxa" w:w="864"/>
            <w:shd w:val="clear" w:color="auto" w:fill="1F4E79"/>
          </w:tcPr>
          <w:p>
            <w:pPr>
              <w:spacing w:line="240" w:lineRule="auto" w:after="40"/>
            </w:pPr>
            <w:r/>
            <w:r>
              <w:rPr>
                <w:b/>
                <w:color w:val="FFFFFF"/>
                <w:sz w:val="14"/>
              </w:rPr>
              <w:t>Cold Start User</w:t>
            </w:r>
          </w:p>
        </w:tc>
      </w:tr>
      <w:tr>
        <w:trPr>
          <w:cantSplit/>
        </w:trPr>
        <w:tc>
          <w:tcPr>
            <w:tcW w:type="dxa" w:w="1080"/>
          </w:tcPr>
          <w:p>
            <w:pPr>
              <w:spacing w:line="240" w:lineRule="auto" w:after="40"/>
            </w:pPr>
            <w:r/>
            <w:r>
              <w:rPr>
                <w:sz w:val="14"/>
              </w:rPr>
              <w:t>USR 10001</w:t>
            </w:r>
          </w:p>
        </w:tc>
        <w:tc>
          <w:tcPr>
            <w:tcW w:type="dxa" w:w="1008"/>
          </w:tcPr>
          <w:p>
            <w:pPr>
              <w:spacing w:line="240" w:lineRule="auto" w:after="40"/>
            </w:pPr>
            <w:r/>
            <w:r>
              <w:rPr>
                <w:sz w:val="14"/>
              </w:rPr>
              <w:t>BK 50001</w:t>
            </w:r>
          </w:p>
        </w:tc>
        <w:tc>
          <w:tcPr>
            <w:tcW w:type="dxa" w:w="1152"/>
          </w:tcPr>
          <w:p>
            <w:pPr>
              <w:spacing w:line="240" w:lineRule="auto" w:after="40"/>
            </w:pPr>
            <w:r/>
            <w:r>
              <w:rPr>
                <w:sz w:val="14"/>
              </w:rPr>
              <w:t>Research Scholar</w:t>
            </w:r>
          </w:p>
        </w:tc>
        <w:tc>
          <w:tcPr>
            <w:tcW w:type="dxa" w:w="1152"/>
          </w:tcPr>
          <w:p>
            <w:pPr>
              <w:spacing w:line="240" w:lineRule="auto" w:after="40"/>
            </w:pPr>
            <w:r/>
            <w:r>
              <w:rPr>
                <w:sz w:val="14"/>
              </w:rPr>
              <w:t>Medicine</w:t>
            </w:r>
          </w:p>
        </w:tc>
        <w:tc>
          <w:tcPr>
            <w:tcW w:type="dxa" w:w="1296"/>
          </w:tcPr>
          <w:p>
            <w:pPr>
              <w:spacing w:line="240" w:lineRule="auto" w:after="40"/>
            </w:pPr>
            <w:r/>
            <w:r>
              <w:rPr>
                <w:sz w:val="14"/>
              </w:rPr>
              <w:t>Education</w:t>
            </w:r>
          </w:p>
        </w:tc>
        <w:tc>
          <w:tcPr>
            <w:tcW w:type="dxa" w:w="1008"/>
          </w:tcPr>
          <w:p>
            <w:pPr>
              <w:spacing w:line="240" w:lineRule="auto" w:after="40"/>
            </w:pPr>
            <w:r/>
            <w:r>
              <w:rPr>
                <w:sz w:val="14"/>
              </w:rPr>
              <w:t>Reviewed</w:t>
            </w:r>
          </w:p>
        </w:tc>
        <w:tc>
          <w:tcPr>
            <w:tcW w:type="dxa" w:w="864"/>
          </w:tcPr>
          <w:p>
            <w:pPr>
              <w:spacing w:line="240" w:lineRule="auto" w:after="40"/>
            </w:pPr>
            <w:r/>
            <w:r>
              <w:rPr>
                <w:sz w:val="14"/>
              </w:rPr>
              <w:t>3</w:t>
            </w:r>
          </w:p>
        </w:tc>
        <w:tc>
          <w:tcPr>
            <w:tcW w:type="dxa" w:w="936"/>
          </w:tcPr>
          <w:p>
            <w:pPr>
              <w:spacing w:line="240" w:lineRule="auto" w:after="40"/>
            </w:pPr>
            <w:r/>
            <w:r>
              <w:rPr>
                <w:sz w:val="14"/>
              </w:rPr>
              <w:t>0.366</w:t>
            </w:r>
          </w:p>
        </w:tc>
        <w:tc>
          <w:tcPr>
            <w:tcW w:type="dxa" w:w="864"/>
          </w:tcPr>
          <w:p>
            <w:pPr>
              <w:spacing w:line="240" w:lineRule="auto" w:after="40"/>
            </w:pPr>
            <w:r/>
            <w:r>
              <w:rPr>
                <w:sz w:val="14"/>
              </w:rPr>
              <w:t>Yes</w:t>
            </w:r>
          </w:p>
        </w:tc>
      </w:tr>
      <w:tr>
        <w:trPr>
          <w:cantSplit/>
        </w:trPr>
        <w:tc>
          <w:tcPr>
            <w:tcW w:type="dxa" w:w="1080"/>
          </w:tcPr>
          <w:p>
            <w:pPr>
              <w:spacing w:line="240" w:lineRule="auto" w:after="40"/>
            </w:pPr>
            <w:r/>
            <w:r>
              <w:rPr>
                <w:sz w:val="14"/>
              </w:rPr>
              <w:t>USR 10002</w:t>
            </w:r>
          </w:p>
        </w:tc>
        <w:tc>
          <w:tcPr>
            <w:tcW w:type="dxa" w:w="1008"/>
          </w:tcPr>
          <w:p>
            <w:pPr>
              <w:spacing w:line="240" w:lineRule="auto" w:after="40"/>
            </w:pPr>
            <w:r/>
            <w:r>
              <w:rPr>
                <w:sz w:val="14"/>
              </w:rPr>
              <w:t>BK 50002</w:t>
            </w:r>
          </w:p>
        </w:tc>
        <w:tc>
          <w:tcPr>
            <w:tcW w:type="dxa" w:w="1152"/>
          </w:tcPr>
          <w:p>
            <w:pPr>
              <w:spacing w:line="240" w:lineRule="auto" w:after="40"/>
            </w:pPr>
            <w:r/>
            <w:r>
              <w:rPr>
                <w:sz w:val="14"/>
              </w:rPr>
              <w:t>Faculty</w:t>
            </w:r>
          </w:p>
        </w:tc>
        <w:tc>
          <w:tcPr>
            <w:tcW w:type="dxa" w:w="1152"/>
          </w:tcPr>
          <w:p>
            <w:pPr>
              <w:spacing w:line="240" w:lineRule="auto" w:after="40"/>
            </w:pPr>
            <w:r/>
            <w:r>
              <w:rPr>
                <w:sz w:val="14"/>
              </w:rPr>
              <w:t>Law</w:t>
            </w:r>
          </w:p>
        </w:tc>
        <w:tc>
          <w:tcPr>
            <w:tcW w:type="dxa" w:w="1296"/>
          </w:tcPr>
          <w:p>
            <w:pPr>
              <w:spacing w:line="240" w:lineRule="auto" w:after="40"/>
            </w:pPr>
            <w:r/>
            <w:r>
              <w:rPr>
                <w:sz w:val="14"/>
              </w:rPr>
              <w:t>Digital Library</w:t>
            </w:r>
          </w:p>
        </w:tc>
        <w:tc>
          <w:tcPr>
            <w:tcW w:type="dxa" w:w="1008"/>
          </w:tcPr>
          <w:p>
            <w:pPr>
              <w:spacing w:line="240" w:lineRule="auto" w:after="40"/>
            </w:pPr>
            <w:r/>
            <w:r>
              <w:rPr>
                <w:sz w:val="14"/>
              </w:rPr>
              <w:t>Viewed</w:t>
            </w:r>
          </w:p>
        </w:tc>
        <w:tc>
          <w:tcPr>
            <w:tcW w:type="dxa" w:w="864"/>
          </w:tcPr>
          <w:p>
            <w:pPr>
              <w:spacing w:line="240" w:lineRule="auto" w:after="40"/>
            </w:pPr>
            <w:r/>
            <w:r>
              <w:rPr>
                <w:sz w:val="14"/>
              </w:rPr>
              <w:t>3</w:t>
            </w:r>
          </w:p>
        </w:tc>
        <w:tc>
          <w:tcPr>
            <w:tcW w:type="dxa" w:w="936"/>
          </w:tcPr>
          <w:p>
            <w:pPr>
              <w:spacing w:line="240" w:lineRule="auto" w:after="40"/>
            </w:pPr>
            <w:r/>
            <w:r>
              <w:rPr>
                <w:sz w:val="14"/>
              </w:rPr>
              <w:t>0.518</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10003</w:t>
            </w:r>
          </w:p>
        </w:tc>
        <w:tc>
          <w:tcPr>
            <w:tcW w:type="dxa" w:w="1008"/>
          </w:tcPr>
          <w:p>
            <w:pPr>
              <w:spacing w:line="240" w:lineRule="auto" w:after="40"/>
            </w:pPr>
            <w:r/>
            <w:r>
              <w:rPr>
                <w:sz w:val="14"/>
              </w:rPr>
              <w:t>BK 50003</w:t>
            </w:r>
          </w:p>
        </w:tc>
        <w:tc>
          <w:tcPr>
            <w:tcW w:type="dxa" w:w="1152"/>
          </w:tcPr>
          <w:p>
            <w:pPr>
              <w:spacing w:line="240" w:lineRule="auto" w:after="40"/>
            </w:pPr>
            <w:r/>
            <w:r>
              <w:rPr>
                <w:sz w:val="14"/>
              </w:rPr>
              <w:t>Faculty</w:t>
            </w:r>
          </w:p>
        </w:tc>
        <w:tc>
          <w:tcPr>
            <w:tcW w:type="dxa" w:w="1152"/>
          </w:tcPr>
          <w:p>
            <w:pPr>
              <w:spacing w:line="240" w:lineRule="auto" w:after="40"/>
            </w:pPr>
            <w:r/>
            <w:r>
              <w:rPr>
                <w:sz w:val="14"/>
              </w:rPr>
              <w:t>Education</w:t>
            </w:r>
          </w:p>
        </w:tc>
        <w:tc>
          <w:tcPr>
            <w:tcW w:type="dxa" w:w="1296"/>
          </w:tcPr>
          <w:p>
            <w:pPr>
              <w:spacing w:line="240" w:lineRule="auto" w:after="40"/>
            </w:pPr>
            <w:r/>
            <w:r>
              <w:rPr>
                <w:sz w:val="14"/>
              </w:rPr>
              <w:t>Digital Library</w:t>
            </w:r>
          </w:p>
        </w:tc>
        <w:tc>
          <w:tcPr>
            <w:tcW w:type="dxa" w:w="1008"/>
          </w:tcPr>
          <w:p>
            <w:pPr>
              <w:spacing w:line="240" w:lineRule="auto" w:after="40"/>
            </w:pPr>
            <w:r/>
            <w:r>
              <w:rPr>
                <w:sz w:val="14"/>
              </w:rPr>
              <w:t>Borrowed</w:t>
            </w:r>
          </w:p>
        </w:tc>
        <w:tc>
          <w:tcPr>
            <w:tcW w:type="dxa" w:w="864"/>
          </w:tcPr>
          <w:p>
            <w:pPr>
              <w:spacing w:line="240" w:lineRule="auto" w:after="40"/>
            </w:pPr>
            <w:r/>
            <w:r>
              <w:rPr>
                <w:sz w:val="14"/>
              </w:rPr>
              <w:t>40</w:t>
            </w:r>
          </w:p>
        </w:tc>
        <w:tc>
          <w:tcPr>
            <w:tcW w:type="dxa" w:w="936"/>
          </w:tcPr>
          <w:p>
            <w:pPr>
              <w:spacing w:line="240" w:lineRule="auto" w:after="40"/>
            </w:pPr>
            <w:r/>
            <w:r>
              <w:rPr>
                <w:sz w:val="14"/>
              </w:rPr>
              <w:t>0.747</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10004</w:t>
            </w:r>
          </w:p>
        </w:tc>
        <w:tc>
          <w:tcPr>
            <w:tcW w:type="dxa" w:w="1008"/>
          </w:tcPr>
          <w:p>
            <w:pPr>
              <w:spacing w:line="240" w:lineRule="auto" w:after="40"/>
            </w:pPr>
            <w:r/>
            <w:r>
              <w:rPr>
                <w:sz w:val="14"/>
              </w:rPr>
              <w:t>BK 50004</w:t>
            </w:r>
          </w:p>
        </w:tc>
        <w:tc>
          <w:tcPr>
            <w:tcW w:type="dxa" w:w="1152"/>
          </w:tcPr>
          <w:p>
            <w:pPr>
              <w:spacing w:line="240" w:lineRule="auto" w:after="40"/>
            </w:pPr>
            <w:r/>
            <w:r>
              <w:rPr>
                <w:sz w:val="14"/>
              </w:rPr>
              <w:t>Undergraduate</w:t>
            </w:r>
          </w:p>
        </w:tc>
        <w:tc>
          <w:tcPr>
            <w:tcW w:type="dxa" w:w="1152"/>
          </w:tcPr>
          <w:p>
            <w:pPr>
              <w:spacing w:line="240" w:lineRule="auto" w:after="40"/>
            </w:pPr>
            <w:r/>
            <w:r>
              <w:rPr>
                <w:sz w:val="14"/>
              </w:rPr>
              <w:t>Law</w:t>
            </w:r>
          </w:p>
        </w:tc>
        <w:tc>
          <w:tcPr>
            <w:tcW w:type="dxa" w:w="1296"/>
          </w:tcPr>
          <w:p>
            <w:pPr>
              <w:spacing w:line="240" w:lineRule="auto" w:after="40"/>
            </w:pPr>
            <w:r/>
            <w:r>
              <w:rPr>
                <w:sz w:val="14"/>
              </w:rPr>
              <w:t>Data Science</w:t>
            </w:r>
          </w:p>
        </w:tc>
        <w:tc>
          <w:tcPr>
            <w:tcW w:type="dxa" w:w="1008"/>
          </w:tcPr>
          <w:p>
            <w:pPr>
              <w:spacing w:line="240" w:lineRule="auto" w:after="40"/>
            </w:pPr>
            <w:r/>
            <w:r>
              <w:rPr>
                <w:sz w:val="14"/>
              </w:rPr>
              <w:t>Reviewed</w:t>
            </w:r>
          </w:p>
        </w:tc>
        <w:tc>
          <w:tcPr>
            <w:tcW w:type="dxa" w:w="864"/>
          </w:tcPr>
          <w:p>
            <w:pPr>
              <w:spacing w:line="240" w:lineRule="auto" w:after="40"/>
            </w:pPr>
            <w:r/>
            <w:r>
              <w:rPr>
                <w:sz w:val="14"/>
              </w:rPr>
              <w:t>25</w:t>
            </w:r>
          </w:p>
        </w:tc>
        <w:tc>
          <w:tcPr>
            <w:tcW w:type="dxa" w:w="936"/>
          </w:tcPr>
          <w:p>
            <w:pPr>
              <w:spacing w:line="240" w:lineRule="auto" w:after="40"/>
            </w:pPr>
            <w:r/>
            <w:r>
              <w:rPr>
                <w:sz w:val="14"/>
              </w:rPr>
              <w:t>0.48</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10005</w:t>
            </w:r>
          </w:p>
        </w:tc>
        <w:tc>
          <w:tcPr>
            <w:tcW w:type="dxa" w:w="1008"/>
          </w:tcPr>
          <w:p>
            <w:pPr>
              <w:spacing w:line="240" w:lineRule="auto" w:after="40"/>
            </w:pPr>
            <w:r/>
            <w:r>
              <w:rPr>
                <w:sz w:val="14"/>
              </w:rPr>
              <w:t>BK 50005</w:t>
            </w:r>
          </w:p>
        </w:tc>
        <w:tc>
          <w:tcPr>
            <w:tcW w:type="dxa" w:w="1152"/>
          </w:tcPr>
          <w:p>
            <w:pPr>
              <w:spacing w:line="240" w:lineRule="auto" w:after="40"/>
            </w:pPr>
            <w:r/>
            <w:r>
              <w:rPr>
                <w:sz w:val="14"/>
              </w:rPr>
              <w:t>Undergraduate</w:t>
            </w:r>
          </w:p>
        </w:tc>
        <w:tc>
          <w:tcPr>
            <w:tcW w:type="dxa" w:w="1152"/>
          </w:tcPr>
          <w:p>
            <w:pPr>
              <w:spacing w:line="240" w:lineRule="auto" w:after="40"/>
            </w:pPr>
            <w:r/>
            <w:r>
              <w:rPr>
                <w:sz w:val="14"/>
              </w:rPr>
              <w:t>Medicine</w:t>
            </w:r>
          </w:p>
        </w:tc>
        <w:tc>
          <w:tcPr>
            <w:tcW w:type="dxa" w:w="1296"/>
          </w:tcPr>
          <w:p>
            <w:pPr>
              <w:spacing w:line="240" w:lineRule="auto" w:after="40"/>
            </w:pPr>
            <w:r/>
            <w:r>
              <w:rPr>
                <w:sz w:val="14"/>
              </w:rPr>
              <w:t>Literature</w:t>
            </w:r>
          </w:p>
        </w:tc>
        <w:tc>
          <w:tcPr>
            <w:tcW w:type="dxa" w:w="1008"/>
          </w:tcPr>
          <w:p>
            <w:pPr>
              <w:spacing w:line="240" w:lineRule="auto" w:after="40"/>
            </w:pPr>
            <w:r/>
            <w:r>
              <w:rPr>
                <w:sz w:val="14"/>
              </w:rPr>
              <w:t>Viewed</w:t>
            </w:r>
          </w:p>
        </w:tc>
        <w:tc>
          <w:tcPr>
            <w:tcW w:type="dxa" w:w="864"/>
          </w:tcPr>
          <w:p>
            <w:pPr>
              <w:spacing w:line="240" w:lineRule="auto" w:after="40"/>
            </w:pPr>
            <w:r/>
            <w:r>
              <w:rPr>
                <w:sz w:val="14"/>
              </w:rPr>
              <w:t>23</w:t>
            </w:r>
          </w:p>
        </w:tc>
        <w:tc>
          <w:tcPr>
            <w:tcW w:type="dxa" w:w="936"/>
          </w:tcPr>
          <w:p>
            <w:pPr>
              <w:spacing w:line="240" w:lineRule="auto" w:after="40"/>
            </w:pPr>
            <w:r/>
            <w:r>
              <w:rPr>
                <w:sz w:val="14"/>
              </w:rPr>
              <w:t>0.535</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10006</w:t>
            </w:r>
          </w:p>
        </w:tc>
        <w:tc>
          <w:tcPr>
            <w:tcW w:type="dxa" w:w="1008"/>
          </w:tcPr>
          <w:p>
            <w:pPr>
              <w:spacing w:line="240" w:lineRule="auto" w:after="40"/>
            </w:pPr>
            <w:r/>
            <w:r>
              <w:rPr>
                <w:sz w:val="14"/>
              </w:rPr>
              <w:t>BK 50006</w:t>
            </w:r>
          </w:p>
        </w:tc>
        <w:tc>
          <w:tcPr>
            <w:tcW w:type="dxa" w:w="1152"/>
          </w:tcPr>
          <w:p>
            <w:pPr>
              <w:spacing w:line="240" w:lineRule="auto" w:after="40"/>
            </w:pPr>
            <w:r/>
            <w:r>
              <w:rPr>
                <w:sz w:val="14"/>
              </w:rPr>
              <w:t>Research Scholar</w:t>
            </w:r>
          </w:p>
        </w:tc>
        <w:tc>
          <w:tcPr>
            <w:tcW w:type="dxa" w:w="1152"/>
          </w:tcPr>
          <w:p>
            <w:pPr>
              <w:spacing w:line="240" w:lineRule="auto" w:after="40"/>
            </w:pPr>
            <w:r/>
            <w:r>
              <w:rPr>
                <w:sz w:val="14"/>
              </w:rPr>
              <w:t>Education</w:t>
            </w:r>
          </w:p>
        </w:tc>
        <w:tc>
          <w:tcPr>
            <w:tcW w:type="dxa" w:w="1296"/>
          </w:tcPr>
          <w:p>
            <w:pPr>
              <w:spacing w:line="240" w:lineRule="auto" w:after="40"/>
            </w:pPr>
            <w:r/>
            <w:r>
              <w:rPr>
                <w:sz w:val="14"/>
              </w:rPr>
              <w:t>Literature</w:t>
            </w:r>
          </w:p>
        </w:tc>
        <w:tc>
          <w:tcPr>
            <w:tcW w:type="dxa" w:w="1008"/>
          </w:tcPr>
          <w:p>
            <w:pPr>
              <w:spacing w:line="240" w:lineRule="auto" w:after="40"/>
            </w:pPr>
            <w:r/>
            <w:r>
              <w:rPr>
                <w:sz w:val="14"/>
              </w:rPr>
              <w:t>Viewed</w:t>
            </w:r>
          </w:p>
        </w:tc>
        <w:tc>
          <w:tcPr>
            <w:tcW w:type="dxa" w:w="864"/>
          </w:tcPr>
          <w:p>
            <w:pPr>
              <w:spacing w:line="240" w:lineRule="auto" w:after="40"/>
            </w:pPr>
            <w:r/>
            <w:r>
              <w:rPr>
                <w:sz w:val="14"/>
              </w:rPr>
              <w:t>37</w:t>
            </w:r>
          </w:p>
        </w:tc>
        <w:tc>
          <w:tcPr>
            <w:tcW w:type="dxa" w:w="936"/>
          </w:tcPr>
          <w:p>
            <w:pPr>
              <w:spacing w:line="240" w:lineRule="auto" w:after="40"/>
            </w:pPr>
            <w:r/>
            <w:r>
              <w:rPr>
                <w:sz w:val="14"/>
              </w:rPr>
              <w:t>0.7</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10007</w:t>
            </w:r>
          </w:p>
        </w:tc>
        <w:tc>
          <w:tcPr>
            <w:tcW w:type="dxa" w:w="1008"/>
          </w:tcPr>
          <w:p>
            <w:pPr>
              <w:spacing w:line="240" w:lineRule="auto" w:after="40"/>
            </w:pPr>
            <w:r/>
            <w:r>
              <w:rPr>
                <w:sz w:val="14"/>
              </w:rPr>
              <w:t>BK 50007</w:t>
            </w:r>
          </w:p>
        </w:tc>
        <w:tc>
          <w:tcPr>
            <w:tcW w:type="dxa" w:w="1152"/>
          </w:tcPr>
          <w:p>
            <w:pPr>
              <w:spacing w:line="240" w:lineRule="auto" w:after="40"/>
            </w:pPr>
            <w:r/>
            <w:r>
              <w:rPr>
                <w:sz w:val="14"/>
              </w:rPr>
              <w:t>Faculty</w:t>
            </w:r>
          </w:p>
        </w:tc>
        <w:tc>
          <w:tcPr>
            <w:tcW w:type="dxa" w:w="1152"/>
          </w:tcPr>
          <w:p>
            <w:pPr>
              <w:spacing w:line="240" w:lineRule="auto" w:after="40"/>
            </w:pPr>
            <w:r/>
            <w:r>
              <w:rPr>
                <w:sz w:val="14"/>
              </w:rPr>
              <w:t>Science</w:t>
            </w:r>
          </w:p>
        </w:tc>
        <w:tc>
          <w:tcPr>
            <w:tcW w:type="dxa" w:w="1296"/>
          </w:tcPr>
          <w:p>
            <w:pPr>
              <w:spacing w:line="240" w:lineRule="auto" w:after="40"/>
            </w:pPr>
            <w:r/>
            <w:r>
              <w:rPr>
                <w:sz w:val="14"/>
              </w:rPr>
              <w:t>Social Science</w:t>
            </w:r>
          </w:p>
        </w:tc>
        <w:tc>
          <w:tcPr>
            <w:tcW w:type="dxa" w:w="1008"/>
          </w:tcPr>
          <w:p>
            <w:pPr>
              <w:spacing w:line="240" w:lineRule="auto" w:after="40"/>
            </w:pPr>
            <w:r/>
            <w:r>
              <w:rPr>
                <w:sz w:val="14"/>
              </w:rPr>
              <w:t>Viewed</w:t>
            </w:r>
          </w:p>
        </w:tc>
        <w:tc>
          <w:tcPr>
            <w:tcW w:type="dxa" w:w="864"/>
          </w:tcPr>
          <w:p>
            <w:pPr>
              <w:spacing w:line="240" w:lineRule="auto" w:after="40"/>
            </w:pPr>
            <w:r/>
            <w:r>
              <w:rPr>
                <w:sz w:val="14"/>
              </w:rPr>
              <w:t>1</w:t>
            </w:r>
          </w:p>
        </w:tc>
        <w:tc>
          <w:tcPr>
            <w:tcW w:type="dxa" w:w="936"/>
          </w:tcPr>
          <w:p>
            <w:pPr>
              <w:spacing w:line="240" w:lineRule="auto" w:after="40"/>
            </w:pPr>
            <w:r/>
            <w:r>
              <w:rPr>
                <w:sz w:val="14"/>
              </w:rPr>
              <w:t>0.398</w:t>
            </w:r>
          </w:p>
        </w:tc>
        <w:tc>
          <w:tcPr>
            <w:tcW w:type="dxa" w:w="864"/>
          </w:tcPr>
          <w:p>
            <w:pPr>
              <w:spacing w:line="240" w:lineRule="auto" w:after="40"/>
            </w:pPr>
            <w:r/>
            <w:r>
              <w:rPr>
                <w:sz w:val="14"/>
              </w:rPr>
              <w:t>Yes</w:t>
            </w:r>
          </w:p>
        </w:tc>
      </w:tr>
      <w:tr>
        <w:trPr>
          <w:cantSplit/>
        </w:trPr>
        <w:tc>
          <w:tcPr>
            <w:tcW w:type="dxa" w:w="1080"/>
          </w:tcPr>
          <w:p>
            <w:pPr>
              <w:spacing w:line="240" w:lineRule="auto" w:after="40"/>
            </w:pPr>
            <w:r/>
            <w:r>
              <w:rPr>
                <w:sz w:val="14"/>
              </w:rPr>
              <w:t>USR 10008</w:t>
            </w:r>
          </w:p>
        </w:tc>
        <w:tc>
          <w:tcPr>
            <w:tcW w:type="dxa" w:w="1008"/>
          </w:tcPr>
          <w:p>
            <w:pPr>
              <w:spacing w:line="240" w:lineRule="auto" w:after="40"/>
            </w:pPr>
            <w:r/>
            <w:r>
              <w:rPr>
                <w:sz w:val="14"/>
              </w:rPr>
              <w:t>BK 50008</w:t>
            </w:r>
          </w:p>
        </w:tc>
        <w:tc>
          <w:tcPr>
            <w:tcW w:type="dxa" w:w="1152"/>
          </w:tcPr>
          <w:p>
            <w:pPr>
              <w:spacing w:line="240" w:lineRule="auto" w:after="40"/>
            </w:pPr>
            <w:r/>
            <w:r>
              <w:rPr>
                <w:sz w:val="14"/>
              </w:rPr>
              <w:t>Undergraduate</w:t>
            </w:r>
          </w:p>
        </w:tc>
        <w:tc>
          <w:tcPr>
            <w:tcW w:type="dxa" w:w="1152"/>
          </w:tcPr>
          <w:p>
            <w:pPr>
              <w:spacing w:line="240" w:lineRule="auto" w:after="40"/>
            </w:pPr>
            <w:r/>
            <w:r>
              <w:rPr>
                <w:sz w:val="14"/>
              </w:rPr>
              <w:t>Management</w:t>
            </w:r>
          </w:p>
        </w:tc>
        <w:tc>
          <w:tcPr>
            <w:tcW w:type="dxa" w:w="1296"/>
          </w:tcPr>
          <w:p>
            <w:pPr>
              <w:spacing w:line="240" w:lineRule="auto" w:after="40"/>
            </w:pPr>
            <w:r/>
            <w:r>
              <w:rPr>
                <w:sz w:val="14"/>
              </w:rPr>
              <w:t>Management</w:t>
            </w:r>
          </w:p>
        </w:tc>
        <w:tc>
          <w:tcPr>
            <w:tcW w:type="dxa" w:w="1008"/>
          </w:tcPr>
          <w:p>
            <w:pPr>
              <w:spacing w:line="240" w:lineRule="auto" w:after="40"/>
            </w:pPr>
            <w:r/>
            <w:r>
              <w:rPr>
                <w:sz w:val="14"/>
              </w:rPr>
              <w:t>Reserved</w:t>
            </w:r>
          </w:p>
        </w:tc>
        <w:tc>
          <w:tcPr>
            <w:tcW w:type="dxa" w:w="864"/>
          </w:tcPr>
          <w:p>
            <w:pPr>
              <w:spacing w:line="240" w:lineRule="auto" w:after="40"/>
            </w:pPr>
            <w:r/>
            <w:r>
              <w:rPr>
                <w:sz w:val="14"/>
              </w:rPr>
              <w:t>37</w:t>
            </w:r>
          </w:p>
        </w:tc>
        <w:tc>
          <w:tcPr>
            <w:tcW w:type="dxa" w:w="936"/>
          </w:tcPr>
          <w:p>
            <w:pPr>
              <w:spacing w:line="240" w:lineRule="auto" w:after="40"/>
            </w:pPr>
            <w:r/>
            <w:r>
              <w:rPr>
                <w:sz w:val="14"/>
              </w:rPr>
              <w:t>0.598</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10009</w:t>
            </w:r>
          </w:p>
        </w:tc>
        <w:tc>
          <w:tcPr>
            <w:tcW w:type="dxa" w:w="1008"/>
          </w:tcPr>
          <w:p>
            <w:pPr>
              <w:spacing w:line="240" w:lineRule="auto" w:after="40"/>
            </w:pPr>
            <w:r/>
            <w:r>
              <w:rPr>
                <w:sz w:val="14"/>
              </w:rPr>
              <w:t>BK 50009</w:t>
            </w:r>
          </w:p>
        </w:tc>
        <w:tc>
          <w:tcPr>
            <w:tcW w:type="dxa" w:w="1152"/>
          </w:tcPr>
          <w:p>
            <w:pPr>
              <w:spacing w:line="240" w:lineRule="auto" w:after="40"/>
            </w:pPr>
            <w:r/>
            <w:r>
              <w:rPr>
                <w:sz w:val="14"/>
              </w:rPr>
              <w:t>Research Scholar</w:t>
            </w:r>
          </w:p>
        </w:tc>
        <w:tc>
          <w:tcPr>
            <w:tcW w:type="dxa" w:w="1152"/>
          </w:tcPr>
          <w:p>
            <w:pPr>
              <w:spacing w:line="240" w:lineRule="auto" w:after="40"/>
            </w:pPr>
            <w:r/>
            <w:r>
              <w:rPr>
                <w:sz w:val="14"/>
              </w:rPr>
              <w:t>Computer Science</w:t>
            </w:r>
          </w:p>
        </w:tc>
        <w:tc>
          <w:tcPr>
            <w:tcW w:type="dxa" w:w="1296"/>
          </w:tcPr>
          <w:p>
            <w:pPr>
              <w:spacing w:line="240" w:lineRule="auto" w:after="40"/>
            </w:pPr>
            <w:r/>
            <w:r>
              <w:rPr>
                <w:sz w:val="14"/>
              </w:rPr>
              <w:t>Engineering</w:t>
            </w:r>
          </w:p>
        </w:tc>
        <w:tc>
          <w:tcPr>
            <w:tcW w:type="dxa" w:w="1008"/>
          </w:tcPr>
          <w:p>
            <w:pPr>
              <w:spacing w:line="240" w:lineRule="auto" w:after="40"/>
            </w:pPr>
            <w:r/>
            <w:r>
              <w:rPr>
                <w:sz w:val="14"/>
              </w:rPr>
              <w:t>Reviewed</w:t>
            </w:r>
          </w:p>
        </w:tc>
        <w:tc>
          <w:tcPr>
            <w:tcW w:type="dxa" w:w="864"/>
          </w:tcPr>
          <w:p>
            <w:pPr>
              <w:spacing w:line="240" w:lineRule="auto" w:after="40"/>
            </w:pPr>
            <w:r/>
            <w:r>
              <w:rPr>
                <w:sz w:val="14"/>
              </w:rPr>
              <w:t>6</w:t>
            </w:r>
          </w:p>
        </w:tc>
        <w:tc>
          <w:tcPr>
            <w:tcW w:type="dxa" w:w="936"/>
          </w:tcPr>
          <w:p>
            <w:pPr>
              <w:spacing w:line="240" w:lineRule="auto" w:after="40"/>
            </w:pPr>
            <w:r/>
            <w:r>
              <w:rPr>
                <w:sz w:val="14"/>
              </w:rPr>
              <w:t>0.483</w:t>
            </w:r>
          </w:p>
        </w:tc>
        <w:tc>
          <w:tcPr>
            <w:tcW w:type="dxa" w:w="864"/>
          </w:tcPr>
          <w:p>
            <w:pPr>
              <w:spacing w:line="240" w:lineRule="auto" w:after="40"/>
            </w:pPr>
            <w:r/>
            <w:r>
              <w:rPr>
                <w:sz w:val="14"/>
              </w:rPr>
              <w:t>No</w:t>
            </w:r>
          </w:p>
        </w:tc>
      </w:tr>
      <w:tr>
        <w:trPr>
          <w:cantSplit/>
        </w:trPr>
        <w:tc>
          <w:tcPr>
            <w:tcW w:type="dxa" w:w="1080"/>
          </w:tcPr>
          <w:p>
            <w:pPr>
              <w:spacing w:line="240" w:lineRule="auto" w:after="40"/>
            </w:pPr>
            <w:r/>
            <w:r>
              <w:rPr>
                <w:sz w:val="14"/>
              </w:rPr>
              <w:t>USR 10010</w:t>
            </w:r>
          </w:p>
        </w:tc>
        <w:tc>
          <w:tcPr>
            <w:tcW w:type="dxa" w:w="1008"/>
          </w:tcPr>
          <w:p>
            <w:pPr>
              <w:spacing w:line="240" w:lineRule="auto" w:after="40"/>
            </w:pPr>
            <w:r/>
            <w:r>
              <w:rPr>
                <w:sz w:val="14"/>
              </w:rPr>
              <w:t>BK 50010</w:t>
            </w:r>
          </w:p>
        </w:tc>
        <w:tc>
          <w:tcPr>
            <w:tcW w:type="dxa" w:w="1152"/>
          </w:tcPr>
          <w:p>
            <w:pPr>
              <w:spacing w:line="240" w:lineRule="auto" w:after="40"/>
            </w:pPr>
            <w:r/>
            <w:r>
              <w:rPr>
                <w:sz w:val="14"/>
              </w:rPr>
              <w:t>Undergraduate</w:t>
            </w:r>
          </w:p>
        </w:tc>
        <w:tc>
          <w:tcPr>
            <w:tcW w:type="dxa" w:w="1152"/>
          </w:tcPr>
          <w:p>
            <w:pPr>
              <w:spacing w:line="240" w:lineRule="auto" w:after="40"/>
            </w:pPr>
            <w:r/>
            <w:r>
              <w:rPr>
                <w:sz w:val="14"/>
              </w:rPr>
              <w:t>Law</w:t>
            </w:r>
          </w:p>
        </w:tc>
        <w:tc>
          <w:tcPr>
            <w:tcW w:type="dxa" w:w="1296"/>
          </w:tcPr>
          <w:p>
            <w:pPr>
              <w:spacing w:line="240" w:lineRule="auto" w:after="40"/>
            </w:pPr>
            <w:r/>
            <w:r>
              <w:rPr>
                <w:sz w:val="14"/>
              </w:rPr>
              <w:t>Literature</w:t>
            </w:r>
          </w:p>
        </w:tc>
        <w:tc>
          <w:tcPr>
            <w:tcW w:type="dxa" w:w="1008"/>
          </w:tcPr>
          <w:p>
            <w:pPr>
              <w:spacing w:line="240" w:lineRule="auto" w:after="40"/>
            </w:pPr>
            <w:r/>
            <w:r>
              <w:rPr>
                <w:sz w:val="14"/>
              </w:rPr>
              <w:t>Borrowed</w:t>
            </w:r>
          </w:p>
        </w:tc>
        <w:tc>
          <w:tcPr>
            <w:tcW w:type="dxa" w:w="864"/>
          </w:tcPr>
          <w:p>
            <w:pPr>
              <w:spacing w:line="240" w:lineRule="auto" w:after="40"/>
            </w:pPr>
            <w:r/>
            <w:r>
              <w:rPr>
                <w:sz w:val="14"/>
              </w:rPr>
              <w:t>25</w:t>
            </w:r>
          </w:p>
        </w:tc>
        <w:tc>
          <w:tcPr>
            <w:tcW w:type="dxa" w:w="936"/>
          </w:tcPr>
          <w:p>
            <w:pPr>
              <w:spacing w:line="240" w:lineRule="auto" w:after="40"/>
            </w:pPr>
            <w:r/>
            <w:r>
              <w:rPr>
                <w:sz w:val="14"/>
              </w:rPr>
              <w:t>0.633</w:t>
            </w:r>
          </w:p>
        </w:tc>
        <w:tc>
          <w:tcPr>
            <w:tcW w:type="dxa" w:w="864"/>
          </w:tcPr>
          <w:p>
            <w:pPr>
              <w:spacing w:line="240" w:lineRule="auto" w:after="40"/>
            </w:pPr>
            <w:r/>
            <w:r>
              <w:rPr>
                <w:sz w:val="14"/>
              </w:rPr>
              <w:t>No</w:t>
            </w:r>
          </w:p>
        </w:tc>
      </w:tr>
    </w:tbl>
    <w:p>
      <w:pPr>
        <w:spacing w:after="40"/>
      </w:pPr>
    </w:p>
    <w:p>
      <w:pPr>
        <w:pStyle w:val="Heading2"/>
      </w:pPr>
      <w:r>
        <w:t>Appendix B — Individual Contribution Forms (Checkpoint 4)</w:t>
      </w:r>
    </w:p>
    <w:tbl>
      <w:tblPr>
        <w:tblStyle w:val="TableGrid"/>
        <w:tblW w:type="auto" w:w="0"/>
        <w:tblLook w:firstColumn="1" w:firstRow="1" w:lastColumn="0" w:lastRow="0" w:noHBand="0" w:noVBand="1" w:val="04A0"/>
      </w:tblPr>
      <w:tblGrid>
        <w:gridCol w:w="9360"/>
      </w:tblGrid>
      <w:tr>
        <w:tc>
          <w:tcPr>
            <w:tcW w:type="dxa" w:w="9360"/>
          </w:tcPr>
          <w:p>
            <w:pPr>
              <w:spacing w:line="276" w:lineRule="auto" w:after="40"/>
            </w:pPr>
            <w:r/>
            <w:r>
              <w:rPr>
                <w:b/>
                <w:sz w:val="20"/>
              </w:rPr>
              <w:t>Individual Contribution Form — BED 106 Capstone Project</w:t>
            </w:r>
          </w:p>
          <w:p>
            <w:pPr>
              <w:spacing w:line="276" w:lineRule="auto" w:after="40"/>
            </w:pPr>
            <w:r>
              <w:rPr>
                <w:b w:val="0"/>
                <w:sz w:val="20"/>
              </w:rPr>
              <w:t>Group: Group 1 — The Data Bookworms          Checkpoint No.: 4</w:t>
            </w:r>
          </w:p>
          <w:p>
            <w:pPr>
              <w:spacing w:line="276" w:lineRule="auto" w:after="40"/>
            </w:pPr>
            <w:r>
              <w:rPr>
                <w:b w:val="0"/>
                <w:sz w:val="20"/>
              </w:rPr>
              <w:t>Member Name: Peter Paul Polestico          Role: Project Lead / Analyst</w:t>
            </w:r>
          </w:p>
          <w:p>
            <w:pPr>
              <w:spacing w:line="276" w:lineRule="auto" w:after="40"/>
            </w:pPr>
            <w:r>
              <w:rPr>
                <w:b/>
                <w:sz w:val="20"/>
              </w:rPr>
              <w:t>Specific Contributions This Checkpoint:</w:t>
            </w:r>
          </w:p>
          <w:p>
            <w:pPr>
              <w:spacing w:line="276" w:lineRule="auto" w:after="40"/>
            </w:pPr>
            <w:r>
              <w:rPr>
                <w:b w:val="0"/>
                <w:sz w:val="20"/>
              </w:rPr>
              <w:t>1. Refined the business problem and scope across all sections</w:t>
            </w:r>
          </w:p>
          <w:p>
            <w:pPr>
              <w:spacing w:line="276" w:lineRule="auto" w:after="40"/>
            </w:pPr>
            <w:r>
              <w:rPr>
                <w:b w:val="0"/>
                <w:sz w:val="20"/>
              </w:rPr>
              <w:t>2. Integrated the four checkpoints into the final report and wrote the executive summary</w:t>
            </w:r>
          </w:p>
          <w:p>
            <w:pPr>
              <w:spacing w:line="276" w:lineRule="auto" w:after="40"/>
            </w:pPr>
            <w:r>
              <w:rPr>
                <w:b w:val="0"/>
                <w:sz w:val="20"/>
              </w:rPr>
              <w:t>3. Led the ethics and governance reflection and the final recommendations</w:t>
            </w:r>
          </w:p>
          <w:p>
            <w:pPr>
              <w:spacing w:line="276" w:lineRule="auto" w:after="40"/>
            </w:pPr>
            <w:r>
              <w:rPr>
                <w:b w:val="0"/>
                <w:sz w:val="20"/>
              </w:rPr>
              <w:t>I certify that the contributions listed above are accurate and reflect my actual participation.</w:t>
            </w:r>
          </w:p>
          <w:p>
            <w:pPr>
              <w:spacing w:line="276" w:lineRule="auto" w:after="40"/>
            </w:pPr>
            <w:r>
              <w:rPr>
                <w:b w:val="0"/>
                <w:sz w:val="20"/>
              </w:rPr>
              <w:t>Signature: ____________________          Date: ____________________</w:t>
            </w:r>
          </w:p>
        </w:tc>
      </w:tr>
    </w:tbl>
    <w:p>
      <w:pPr>
        <w:spacing w:after="80"/>
      </w:pPr>
    </w:p>
    <w:tbl>
      <w:tblPr>
        <w:tblStyle w:val="TableGrid"/>
        <w:tblW w:type="auto" w:w="0"/>
        <w:tblLook w:firstColumn="1" w:firstRow="1" w:lastColumn="0" w:lastRow="0" w:noHBand="0" w:noVBand="1" w:val="04A0"/>
      </w:tblPr>
      <w:tblGrid>
        <w:gridCol w:w="9360"/>
      </w:tblGrid>
      <w:tr>
        <w:tc>
          <w:tcPr>
            <w:tcW w:type="dxa" w:w="9360"/>
          </w:tcPr>
          <w:p>
            <w:pPr>
              <w:spacing w:line="276" w:lineRule="auto" w:after="40"/>
            </w:pPr>
            <w:r/>
            <w:r>
              <w:rPr>
                <w:b/>
                <w:sz w:val="20"/>
              </w:rPr>
              <w:t>Individual Contribution Form — BED 106 Capstone Project</w:t>
            </w:r>
          </w:p>
          <w:p>
            <w:pPr>
              <w:spacing w:line="276" w:lineRule="auto" w:after="40"/>
            </w:pPr>
            <w:r>
              <w:rPr>
                <w:b w:val="0"/>
                <w:sz w:val="20"/>
              </w:rPr>
              <w:t>Group: Group 1 — The Data Bookworms          Checkpoint No.: 4</w:t>
            </w:r>
          </w:p>
          <w:p>
            <w:pPr>
              <w:spacing w:line="276" w:lineRule="auto" w:after="40"/>
            </w:pPr>
            <w:r>
              <w:rPr>
                <w:b w:val="0"/>
                <w:sz w:val="20"/>
              </w:rPr>
              <w:t>Member Name: Ken T. Lubrico          Role: Data Engineer</w:t>
            </w:r>
          </w:p>
          <w:p>
            <w:pPr>
              <w:spacing w:line="276" w:lineRule="auto" w:after="40"/>
            </w:pPr>
            <w:r>
              <w:rPr>
                <w:b/>
                <w:sz w:val="20"/>
              </w:rPr>
              <w:t>Specific Contributions This Checkpoint:</w:t>
            </w:r>
          </w:p>
          <w:p>
            <w:pPr>
              <w:spacing w:line="276" w:lineRule="auto" w:after="40"/>
            </w:pPr>
            <w:r>
              <w:rPr>
                <w:b w:val="0"/>
                <w:sz w:val="20"/>
              </w:rPr>
              <w:t>1. Maintained the final database design, cleaned data and SQL queries</w:t>
            </w:r>
          </w:p>
          <w:p>
            <w:pPr>
              <w:spacing w:line="276" w:lineRule="auto" w:after="40"/>
            </w:pPr>
            <w:r>
              <w:rPr>
                <w:b w:val="0"/>
                <w:sz w:val="20"/>
              </w:rPr>
              <w:t>2. Prepared the SQL and data-source sections of the final report</w:t>
            </w:r>
          </w:p>
          <w:p>
            <w:pPr>
              <w:spacing w:line="276" w:lineRule="auto" w:after="40"/>
            </w:pPr>
            <w:r>
              <w:rPr>
                <w:b w:val="0"/>
                <w:sz w:val="20"/>
              </w:rPr>
              <w:t>3. Verified that dashboard and statistical figures reconcile to the database</w:t>
            </w:r>
          </w:p>
          <w:p>
            <w:pPr>
              <w:spacing w:line="276" w:lineRule="auto" w:after="40"/>
            </w:pPr>
            <w:r>
              <w:rPr>
                <w:b w:val="0"/>
                <w:sz w:val="20"/>
              </w:rPr>
              <w:t>I certify that the contributions listed above are accurate and reflect my actual participation.</w:t>
            </w:r>
          </w:p>
          <w:p>
            <w:pPr>
              <w:spacing w:line="276" w:lineRule="auto" w:after="40"/>
            </w:pPr>
            <w:r>
              <w:rPr>
                <w:b w:val="0"/>
                <w:sz w:val="20"/>
              </w:rPr>
              <w:t>Signature: ____________________          Date: ____________________</w:t>
            </w:r>
          </w:p>
        </w:tc>
      </w:tr>
    </w:tbl>
    <w:p>
      <w:pPr>
        <w:spacing w:after="80"/>
      </w:pPr>
    </w:p>
    <w:tbl>
      <w:tblPr>
        <w:tblStyle w:val="TableGrid"/>
        <w:tblW w:type="auto" w:w="0"/>
        <w:tblLook w:firstColumn="1" w:firstRow="1" w:lastColumn="0" w:lastRow="0" w:noHBand="0" w:noVBand="1" w:val="04A0"/>
      </w:tblPr>
      <w:tblGrid>
        <w:gridCol w:w="9360"/>
      </w:tblGrid>
      <w:tr>
        <w:tc>
          <w:tcPr>
            <w:tcW w:type="dxa" w:w="9360"/>
          </w:tcPr>
          <w:p>
            <w:pPr>
              <w:spacing w:line="276" w:lineRule="auto" w:after="40"/>
            </w:pPr>
            <w:r/>
            <w:r>
              <w:rPr>
                <w:b/>
                <w:sz w:val="20"/>
              </w:rPr>
              <w:t>Individual Contribution Form — BED 106 Capstone Project</w:t>
            </w:r>
          </w:p>
          <w:p>
            <w:pPr>
              <w:spacing w:line="276" w:lineRule="auto" w:after="40"/>
            </w:pPr>
            <w:r>
              <w:rPr>
                <w:b w:val="0"/>
                <w:sz w:val="20"/>
              </w:rPr>
              <w:t>Group: Group 1 — The Data Bookworms          Checkpoint No.: 4</w:t>
            </w:r>
          </w:p>
          <w:p>
            <w:pPr>
              <w:spacing w:line="276" w:lineRule="auto" w:after="40"/>
            </w:pPr>
            <w:r>
              <w:rPr>
                <w:b w:val="0"/>
                <w:sz w:val="20"/>
              </w:rPr>
              <w:t>Member Name: Johnro Balingit          Role: Statistician / Modeler and BI Developer / Visualizer</w:t>
            </w:r>
          </w:p>
          <w:p>
            <w:pPr>
              <w:spacing w:line="276" w:lineRule="auto" w:after="40"/>
            </w:pPr>
            <w:r>
              <w:rPr>
                <w:b/>
                <w:sz w:val="20"/>
              </w:rPr>
              <w:t>Specific Contributions This Checkpoint:</w:t>
            </w:r>
          </w:p>
          <w:p>
            <w:pPr>
              <w:spacing w:line="276" w:lineRule="auto" w:after="40"/>
            </w:pPr>
            <w:r>
              <w:rPr>
                <w:b w:val="0"/>
                <w:sz w:val="20"/>
              </w:rPr>
              <w:t>1. Built and evaluated the multiple regression and logistic regression models</w:t>
            </w:r>
          </w:p>
          <w:p>
            <w:pPr>
              <w:spacing w:line="276" w:lineRule="auto" w:after="40"/>
            </w:pPr>
            <w:r>
              <w:rPr>
                <w:b w:val="0"/>
                <w:sz w:val="20"/>
              </w:rPr>
              <w:t>2. Maintained the Power BI dashboard and segmentation</w:t>
            </w:r>
          </w:p>
          <w:p>
            <w:pPr>
              <w:spacing w:line="276" w:lineRule="auto" w:after="40"/>
            </w:pPr>
            <w:r>
              <w:rPr>
                <w:b w:val="0"/>
                <w:sz w:val="20"/>
              </w:rPr>
              <w:t>3. Prepared the statistical, dashboard and predictive sections of the final report</w:t>
            </w:r>
          </w:p>
          <w:p>
            <w:pPr>
              <w:spacing w:line="276" w:lineRule="auto" w:after="40"/>
            </w:pPr>
            <w:r>
              <w:rPr>
                <w:b w:val="0"/>
                <w:sz w:val="20"/>
              </w:rPr>
              <w:t>I certify that the contributions listed above are accurate and reflect my actual participation.</w:t>
            </w:r>
          </w:p>
          <w:p>
            <w:pPr>
              <w:spacing w:line="276" w:lineRule="auto" w:after="40"/>
            </w:pPr>
            <w:r>
              <w:rPr>
                <w:b w:val="0"/>
                <w:sz w:val="20"/>
              </w:rPr>
              <w:t>Signature: ____________________          Date: ____________________</w:t>
            </w:r>
          </w:p>
        </w:tc>
      </w:tr>
    </w:tbl>
    <w:p>
      <w:pPr>
        <w:spacing w:after="80"/>
      </w:pPr>
    </w:p>
    <w:p>
      <w:pPr>
        <w:pStyle w:val="Heading2"/>
      </w:pPr>
      <w:r>
        <w:t>Appendix C — Peer Evaluation Forms</w:t>
      </w:r>
    </w:p>
    <w:p>
      <w:pPr>
        <w:jc w:val="both"/>
      </w:pPr>
      <w:r>
        <w:rPr>
          <w:b w:val="0"/>
          <w:i w:val="0"/>
        </w:rPr>
        <w:t>One signed peer evaluation form per member (Form B of the project guide) is submitted to the instructor in a sealed envelope on defense day, as required. The form used is reproduced below.</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r/>
            <w:r>
              <w:rPr>
                <w:b/>
                <w:sz w:val="18"/>
              </w:rPr>
              <w:t>Member name</w:t>
            </w:r>
          </w:p>
        </w:tc>
        <w:tc>
          <w:tcPr>
            <w:tcW w:type="dxa" w:w="1560"/>
            <w:shd w:val="clear" w:color="auto" w:fill="D6E4F0"/>
          </w:tcPr>
          <w:p>
            <w:r/>
            <w:r>
              <w:rPr>
                <w:b/>
                <w:sz w:val="18"/>
              </w:rPr>
              <w:t>Effort /5</w:t>
            </w:r>
          </w:p>
        </w:tc>
        <w:tc>
          <w:tcPr>
            <w:tcW w:type="dxa" w:w="1560"/>
            <w:shd w:val="clear" w:color="auto" w:fill="D6E4F0"/>
          </w:tcPr>
          <w:p>
            <w:r/>
            <w:r>
              <w:rPr>
                <w:b/>
                <w:sz w:val="18"/>
              </w:rPr>
              <w:t>Quality /5</w:t>
            </w:r>
          </w:p>
        </w:tc>
        <w:tc>
          <w:tcPr>
            <w:tcW w:type="dxa" w:w="1560"/>
            <w:shd w:val="clear" w:color="auto" w:fill="D6E4F0"/>
          </w:tcPr>
          <w:p>
            <w:r/>
            <w:r>
              <w:rPr>
                <w:b/>
                <w:sz w:val="18"/>
              </w:rPr>
              <w:t>Collab. /5</w:t>
            </w:r>
          </w:p>
        </w:tc>
        <w:tc>
          <w:tcPr>
            <w:tcW w:type="dxa" w:w="1560"/>
            <w:shd w:val="clear" w:color="auto" w:fill="D6E4F0"/>
          </w:tcPr>
          <w:p>
            <w:r/>
            <w:r>
              <w:rPr>
                <w:b/>
                <w:sz w:val="18"/>
              </w:rPr>
              <w:t>Commun. /5</w:t>
            </w:r>
          </w:p>
        </w:tc>
        <w:tc>
          <w:tcPr>
            <w:tcW w:type="dxa" w:w="1560"/>
            <w:shd w:val="clear" w:color="auto" w:fill="D6E4F0"/>
          </w:tcPr>
          <w:p>
            <w:r/>
            <w:r>
              <w:rPr>
                <w:b/>
                <w:sz w:val="18"/>
              </w:rPr>
              <w:t>Comments</w:t>
            </w:r>
          </w:p>
        </w:tc>
      </w:tr>
      <w:tr>
        <w:tc>
          <w:tcPr>
            <w:tcW w:type="dxa" w:w="1560"/>
          </w:tcPr>
          <w:p>
            <w:pPr>
              <w:spacing w:line="240" w:lineRule="auto"/>
            </w:pPr>
            <w:r/>
            <w:r>
              <w:rPr>
                <w:sz w:val="18"/>
              </w:rPr>
              <w:t>______________</w:t>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r>
      <w:tr>
        <w:tc>
          <w:tcPr>
            <w:tcW w:type="dxa" w:w="1560"/>
          </w:tcPr>
          <w:p>
            <w:pPr>
              <w:spacing w:line="240" w:lineRule="auto"/>
            </w:pPr>
            <w:r/>
            <w:r>
              <w:rPr>
                <w:sz w:val="18"/>
              </w:rPr>
              <w:t>______________</w:t>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r>
      <w:tr>
        <w:tc>
          <w:tcPr>
            <w:tcW w:type="dxa" w:w="1560"/>
          </w:tcPr>
          <w:p>
            <w:pPr>
              <w:spacing w:line="240" w:lineRule="auto"/>
            </w:pPr>
            <w:r/>
            <w:r>
              <w:rPr>
                <w:sz w:val="18"/>
              </w:rPr>
              <w:t>______________</w:t>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c>
          <w:tcPr>
            <w:tcW w:type="dxa" w:w="1560"/>
          </w:tcPr>
          <w:p>
            <w:pPr>
              <w:spacing w:line="240" w:lineRule="auto"/>
            </w:pPr>
            <w:r/>
          </w:p>
        </w:tc>
      </w:tr>
    </w:tbl>
    <w:p>
      <w:pPr>
        <w:spacing w:after="0"/>
      </w:pPr>
      <w:r>
        <w:rPr>
          <w:b w:val="0"/>
          <w:i w:val="0"/>
          <w:sz w:val="18"/>
        </w:rPr>
        <w:t>Evaluator's Name: ______________________   Group: Group 1 — The Data Bookworms   Signature: ______________   Date: ________</w:t>
      </w:r>
    </w:p>
    <w:p>
      <w:pPr>
        <w:pStyle w:val="Heading2"/>
      </w:pPr>
      <w:r>
        <w:t>Appendix D — Digital Files Index</w:t>
      </w:r>
    </w:p>
    <w:p>
      <w:pPr>
        <w:pStyle w:val="Caption"/>
        <w:keepNext/>
      </w:pPr>
      <w:r>
        <w:t>Table 11. Project files submitted with this report</w:t>
      </w:r>
    </w:p>
    <w:tbl>
      <w:tblPr>
        <w:tblStyle w:val="TableGrid"/>
        <w:tblW w:type="auto" w:w="0"/>
        <w:jc w:val="center"/>
        <w:tblLayout w:type="fixed"/>
        <w:tblLook w:firstColumn="1" w:firstRow="1" w:lastColumn="0" w:lastRow="0" w:noHBand="0" w:noVBand="1" w:val="04A0"/>
      </w:tblPr>
      <w:tblGrid>
        <w:gridCol w:w="4464"/>
        <w:gridCol w:w="4896"/>
      </w:tblGrid>
      <w:tr>
        <w:trPr>
          <w:tblHeader w:val="true"/>
          <w:cantSplit/>
        </w:trPr>
        <w:tc>
          <w:tcPr>
            <w:tcW w:type="dxa" w:w="4464"/>
            <w:shd w:val="clear" w:color="auto" w:fill="1F4E79"/>
          </w:tcPr>
          <w:p>
            <w:pPr>
              <w:spacing w:line="240" w:lineRule="auto" w:after="40"/>
            </w:pPr>
            <w:r/>
            <w:r>
              <w:rPr>
                <w:b/>
                <w:color w:val="FFFFFF"/>
                <w:sz w:val="18"/>
              </w:rPr>
              <w:t>Folder / file</w:t>
            </w:r>
          </w:p>
        </w:tc>
        <w:tc>
          <w:tcPr>
            <w:tcW w:type="dxa" w:w="4896"/>
            <w:shd w:val="clear" w:color="auto" w:fill="1F4E79"/>
          </w:tcPr>
          <w:p>
            <w:pPr>
              <w:spacing w:line="240" w:lineRule="auto" w:after="40"/>
            </w:pPr>
            <w:r/>
            <w:r>
              <w:rPr>
                <w:b/>
                <w:color w:val="FFFFFF"/>
                <w:sz w:val="18"/>
              </w:rPr>
              <w:t>Contents</w:t>
            </w:r>
          </w:p>
        </w:tc>
      </w:tr>
      <w:tr>
        <w:trPr>
          <w:cantSplit/>
        </w:trPr>
        <w:tc>
          <w:tcPr>
            <w:tcW w:type="dxa" w:w="4464"/>
          </w:tcPr>
          <w:p>
            <w:pPr>
              <w:spacing w:line="240" w:lineRule="auto" w:after="40"/>
            </w:pPr>
            <w:r/>
            <w:r>
              <w:rPr>
                <w:sz w:val="18"/>
              </w:rPr>
              <w:t>SQL/library_db_setup.sql, SQL/checkpoint1_queries.sql</w:t>
            </w:r>
          </w:p>
        </w:tc>
        <w:tc>
          <w:tcPr>
            <w:tcW w:type="dxa" w:w="4896"/>
          </w:tcPr>
          <w:p>
            <w:pPr>
              <w:spacing w:line="240" w:lineRule="auto" w:after="40"/>
            </w:pPr>
            <w:r/>
            <w:r>
              <w:rPr>
                <w:sz w:val="18"/>
              </w:rPr>
              <w:t>Database schema, data load, and the eight queries (Checkpoint 1)</w:t>
            </w:r>
          </w:p>
        </w:tc>
      </w:tr>
      <w:tr>
        <w:trPr>
          <w:cantSplit/>
        </w:trPr>
        <w:tc>
          <w:tcPr>
            <w:tcW w:type="dxa" w:w="4464"/>
          </w:tcPr>
          <w:p>
            <w:pPr>
              <w:spacing w:line="240" w:lineRule="auto" w:after="40"/>
            </w:pPr>
            <w:r/>
            <w:r>
              <w:rPr>
                <w:sz w:val="18"/>
              </w:rPr>
              <w:t>Excel/Checkpoint2_Spreadsheet_Analytics.xlsx</w:t>
            </w:r>
          </w:p>
        </w:tc>
        <w:tc>
          <w:tcPr>
            <w:tcW w:type="dxa" w:w="4896"/>
          </w:tcPr>
          <w:p>
            <w:pPr>
              <w:spacing w:line="240" w:lineRule="auto" w:after="40"/>
            </w:pPr>
            <w:r/>
            <w:r>
              <w:rPr>
                <w:sz w:val="18"/>
              </w:rPr>
              <w:t>Pivot analysis, charts, formulas, statistics, correlation, regression (Checkpoint 2)</w:t>
            </w:r>
          </w:p>
        </w:tc>
      </w:tr>
      <w:tr>
        <w:trPr>
          <w:cantSplit/>
        </w:trPr>
        <w:tc>
          <w:tcPr>
            <w:tcW w:type="dxa" w:w="4464"/>
          </w:tcPr>
          <w:p>
            <w:pPr>
              <w:spacing w:line="240" w:lineRule="auto" w:after="40"/>
            </w:pPr>
            <w:r/>
            <w:r>
              <w:rPr>
                <w:sz w:val="18"/>
              </w:rPr>
              <w:t>PowerBI/LIBRARY_ANALYTICS_DASHBOARD.pbix</w:t>
            </w:r>
          </w:p>
        </w:tc>
        <w:tc>
          <w:tcPr>
            <w:tcW w:type="dxa" w:w="4896"/>
          </w:tcPr>
          <w:p>
            <w:pPr>
              <w:spacing w:line="240" w:lineRule="auto" w:after="40"/>
            </w:pPr>
            <w:r/>
            <w:r>
              <w:rPr>
                <w:sz w:val="18"/>
              </w:rPr>
              <w:t>Three-page interactive dashboard (Checkpoint 3)</w:t>
            </w:r>
          </w:p>
        </w:tc>
      </w:tr>
      <w:tr>
        <w:trPr>
          <w:cantSplit/>
        </w:trPr>
        <w:tc>
          <w:tcPr>
            <w:tcW w:type="dxa" w:w="4464"/>
          </w:tcPr>
          <w:p>
            <w:pPr>
              <w:spacing w:line="240" w:lineRule="auto" w:after="40"/>
            </w:pPr>
            <w:r/>
            <w:r>
              <w:rPr>
                <w:sz w:val="18"/>
              </w:rPr>
              <w:t>Python/checkpoint3_clustering.py</w:t>
            </w:r>
          </w:p>
        </w:tc>
        <w:tc>
          <w:tcPr>
            <w:tcW w:type="dxa" w:w="4896"/>
          </w:tcPr>
          <w:p>
            <w:pPr>
              <w:spacing w:line="240" w:lineRule="auto" w:after="40"/>
            </w:pPr>
            <w:r/>
            <w:r>
              <w:rPr>
                <w:sz w:val="18"/>
              </w:rPr>
              <w:t>K-Means segmentation</w:t>
            </w:r>
          </w:p>
        </w:tc>
      </w:tr>
      <w:tr>
        <w:trPr>
          <w:cantSplit/>
        </w:trPr>
        <w:tc>
          <w:tcPr>
            <w:tcW w:type="dxa" w:w="4464"/>
          </w:tcPr>
          <w:p>
            <w:pPr>
              <w:spacing w:line="240" w:lineRule="auto" w:after="40"/>
            </w:pPr>
            <w:r/>
            <w:r>
              <w:rPr>
                <w:sz w:val="18"/>
              </w:rPr>
              <w:t>Python/checkpoint4_predictive.py</w:t>
            </w:r>
          </w:p>
        </w:tc>
        <w:tc>
          <w:tcPr>
            <w:tcW w:type="dxa" w:w="4896"/>
          </w:tcPr>
          <w:p>
            <w:pPr>
              <w:spacing w:line="240" w:lineRule="auto" w:after="40"/>
            </w:pPr>
            <w:r/>
            <w:r>
              <w:rPr>
                <w:sz w:val="18"/>
              </w:rPr>
              <w:t>Multiple and logistic regression models (Checkpoint 4)</w:t>
            </w:r>
          </w:p>
        </w:tc>
      </w:tr>
      <w:tr>
        <w:trPr>
          <w:cantSplit/>
        </w:trPr>
        <w:tc>
          <w:tcPr>
            <w:tcW w:type="dxa" w:w="4464"/>
          </w:tcPr>
          <w:p>
            <w:pPr>
              <w:spacing w:line="240" w:lineRule="auto" w:after="40"/>
            </w:pPr>
            <w:r/>
            <w:r>
              <w:rPr>
                <w:sz w:val="18"/>
              </w:rPr>
              <w:t>data/</w:t>
            </w:r>
          </w:p>
        </w:tc>
        <w:tc>
          <w:tcPr>
            <w:tcW w:type="dxa" w:w="4896"/>
          </w:tcPr>
          <w:p>
            <w:pPr>
              <w:spacing w:line="240" w:lineRule="auto" w:after="40"/>
            </w:pPr>
            <w:r/>
            <w:r>
              <w:rPr>
                <w:sz w:val="18"/>
              </w:rPr>
              <w:t>Source dataset, Power BI dataset, segment and model output files</w:t>
            </w:r>
          </w:p>
        </w:tc>
      </w:tr>
      <w:tr>
        <w:trPr>
          <w:cantSplit/>
        </w:trPr>
        <w:tc>
          <w:tcPr>
            <w:tcW w:type="dxa" w:w="4464"/>
          </w:tcPr>
          <w:p>
            <w:pPr>
              <w:spacing w:line="240" w:lineRule="auto" w:after="40"/>
            </w:pPr>
            <w:r/>
            <w:r>
              <w:rPr>
                <w:sz w:val="18"/>
              </w:rPr>
              <w:t>docs/</w:t>
            </w:r>
          </w:p>
        </w:tc>
        <w:tc>
          <w:tcPr>
            <w:tcW w:type="dxa" w:w="4896"/>
          </w:tcPr>
          <w:p>
            <w:pPr>
              <w:spacing w:line="240" w:lineRule="auto" w:after="40"/>
            </w:pPr>
            <w:r/>
            <w:r>
              <w:rPr>
                <w:sz w:val="18"/>
              </w:rPr>
              <w:t>Checkpoint reports, this final report and the presentation script</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Group 1 — The Data Bookworms | 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8"/>
      </w:rPr>
      <w:t>BED 106 — Business Analytics | Mini Capstone Project | A.Y. 2026–2027, 1st Semester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Arial" w:hAnsi="Arial" w:eastAsia="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Arial" w:hAnsi="Arial" w:eastAsia="Arial"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Arial" w:hAnsi="Arial" w:eastAsia="Arial" w:cs="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i w:val="0"/>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