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51ABBE1">
      <w:pPr>
        <w:pStyle w:val="11"/>
        <w:jc w:val="both"/>
        <w:rPr>
          <w:rFonts w:ascii="Arial" w:hAnsi="Arial" w:eastAsia="Arial" w:cs="Arial"/>
          <w:color w:val="000000"/>
          <w:sz w:val="24"/>
          <w:szCs w:val="24"/>
        </w:rPr>
      </w:pPr>
      <w:bookmarkStart w:id="8" w:name="_GoBack"/>
      <w:bookmarkEnd w:id="8"/>
      <w:bookmarkStart w:id="0" w:name="_3wdub2s55tkx" w:colFirst="0" w:colLast="0"/>
      <w:bookmarkEnd w:id="0"/>
      <w:r>
        <w:rPr>
          <w:rFonts w:ascii="Arial" w:hAnsi="Arial" w:eastAsia="Arial" w:cs="Arial"/>
          <w:color w:val="000000"/>
          <w:sz w:val="24"/>
          <w:szCs w:val="24"/>
        </w:rPr>
        <w:t>Project Proposal: Generative AI Capstone</w:t>
      </w:r>
    </w:p>
    <w:p w14:paraId="651ABBE2">
      <w:pPr>
        <w:pStyle w:val="2"/>
        <w:jc w:val="left"/>
        <w:rPr>
          <w:rFonts w:hint="default" w:ascii="Arial" w:hAnsi="Arial" w:eastAsia="Arial" w:cs="Arial"/>
          <w:color w:val="000000"/>
          <w:sz w:val="24"/>
          <w:szCs w:val="24"/>
          <w:lang w:val="en-PH"/>
        </w:rPr>
      </w:pPr>
      <w:bookmarkStart w:id="1" w:name="_oj4cr8cfjjl" w:colFirst="0" w:colLast="0"/>
      <w:bookmarkEnd w:id="1"/>
      <w:r>
        <w:rPr>
          <w:rFonts w:ascii="Arial" w:hAnsi="Arial" w:eastAsia="Arial" w:cs="Arial"/>
          <w:color w:val="000000"/>
          <w:sz w:val="24"/>
          <w:szCs w:val="24"/>
        </w:rPr>
        <w:t>IS Professional Elective 4 — Generative AI Systems</w:t>
      </w:r>
      <w:r>
        <w:rPr>
          <w:rFonts w:ascii="Arial" w:hAnsi="Arial" w:eastAsia="Arial" w:cs="Arial"/>
          <w:color w:val="000000"/>
          <w:sz w:val="24"/>
          <w:szCs w:val="24"/>
        </w:rPr>
        <w:br w:type="textWrapping"/>
      </w:r>
      <w:r>
        <w:rPr>
          <w:rFonts w:ascii="Arial" w:hAnsi="Arial" w:eastAsia="Arial" w:cs="Arial"/>
          <w:color w:val="000000"/>
          <w:sz w:val="24"/>
          <w:szCs w:val="24"/>
        </w:rPr>
        <w:t xml:space="preserve">Instructor: </w:t>
      </w:r>
      <w:r>
        <w:rPr>
          <w:rFonts w:hint="default" w:ascii="Arial" w:hAnsi="Arial" w:eastAsia="Arial" w:cs="Arial"/>
          <w:color w:val="000000"/>
          <w:sz w:val="24"/>
          <w:szCs w:val="24"/>
          <w:lang w:val="en-PH"/>
        </w:rPr>
        <w:t>Jessie Melendres</w:t>
      </w:r>
    </w:p>
    <w:p w14:paraId="651ABBE3">
      <w:pPr>
        <w:pStyle w:val="11"/>
        <w:jc w:val="left"/>
        <w:rPr>
          <w:rFonts w:ascii="Arial" w:hAnsi="Arial" w:eastAsia="Arial" w:cs="Arial"/>
          <w:color w:val="000000"/>
          <w:sz w:val="24"/>
          <w:szCs w:val="24"/>
        </w:rPr>
      </w:pPr>
      <w:bookmarkStart w:id="2" w:name="_25qzrct2l4u" w:colFirst="0" w:colLast="0"/>
      <w:bookmarkEnd w:id="2"/>
      <w:r>
        <w:rPr>
          <w:rFonts w:ascii="Arial" w:hAnsi="Arial" w:eastAsia="Arial" w:cs="Arial"/>
          <w:color w:val="000000"/>
          <w:sz w:val="24"/>
          <w:szCs w:val="24"/>
        </w:rPr>
        <w:t>1. Project Identity</w:t>
      </w:r>
    </w:p>
    <w:p w14:paraId="651ABBE4">
      <w:pPr>
        <w:jc w:val="left"/>
        <w:rPr>
          <w:rFonts w:ascii="Arial" w:hAnsi="Arial" w:eastAsia="Arial" w:cs="Arial"/>
          <w:color w:val="000000"/>
        </w:rPr>
      </w:pPr>
      <w:r>
        <w:rPr>
          <w:rFonts w:ascii="Arial" w:hAnsi="Arial" w:eastAsia="Arial" w:cs="Arial"/>
          <w:b/>
          <w:bCs/>
          <w:color w:val="000000"/>
        </w:rPr>
        <w:t>Project Title:</w:t>
      </w:r>
      <w:r>
        <w:rPr>
          <w:rFonts w:ascii="Arial" w:hAnsi="Arial" w:eastAsia="Arial" w:cs="Arial"/>
          <w:color w:val="000000"/>
        </w:rPr>
        <w:t xml:space="preserve"> Philippine Labor Law Q&amp;A Bot</w:t>
      </w:r>
      <w:r>
        <w:rPr>
          <w:rFonts w:ascii="Arial" w:hAnsi="Arial" w:eastAsia="Arial" w:cs="Arial"/>
          <w:color w:val="000000"/>
        </w:rPr>
        <w:br w:type="textWrapping"/>
      </w:r>
      <w:r>
        <w:rPr>
          <w:rFonts w:ascii="Arial" w:hAnsi="Arial" w:eastAsia="Arial" w:cs="Arial"/>
          <w:color w:val="000000"/>
        </w:rPr>
        <w:t>Chosen Theme:</w:t>
      </w:r>
    </w:p>
    <w:p w14:paraId="651ABBE5">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p>
    <w:p w14:paraId="651ABBE6">
      <w:pPr>
        <w:numPr>
          <w:ilvl w:val="0"/>
          <w:numId w:val="1"/>
        </w:numPr>
        <w:jc w:val="both"/>
        <w:rPr>
          <w:b/>
        </w:rPr>
      </w:pPr>
      <w:r>
        <w:rPr>
          <w:rFonts w:ascii="Arial" w:hAnsi="Arial" w:eastAsia="Arial" w:cs="Arial"/>
          <w:b/>
          <w:color w:val="000000"/>
          <w:lang w:val="en-PH"/>
        </w:rPr>
        <w:t>Document/Knowledge-Base Q&amp;A Assistant (Selected)</w:t>
      </w:r>
    </w:p>
    <w:p w14:paraId="651ABBED">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p>
    <w:p w14:paraId="651ABBEE">
      <w:pPr>
        <w:jc w:val="both"/>
        <w:rPr>
          <w:rFonts w:hint="default" w:ascii="Arial" w:hAnsi="Arial" w:eastAsia="Arial" w:cs="Arial"/>
          <w:color w:val="000000"/>
          <w:lang w:val="en-PH"/>
        </w:rPr>
      </w:pPr>
      <w:r>
        <w:rPr>
          <w:rFonts w:ascii="Arial" w:hAnsi="Arial" w:eastAsia="Arial" w:cs="Arial"/>
          <w:color w:val="000000"/>
          <w:lang w:val="en-PH"/>
        </w:rPr>
        <w:t>Repository Link: Local repository for Checkpoint 1 (see project README.md); will be pushed to GitHub before Checkpoint 2 per Section 4 of the course guide.</w:t>
      </w:r>
    </w:p>
    <w:p w14:paraId="651ABBEF">
      <w:pPr>
        <w:pStyle w:val="11"/>
        <w:jc w:val="both"/>
        <w:rPr>
          <w:rFonts w:ascii="Arial" w:hAnsi="Arial" w:eastAsia="Arial" w:cs="Arial"/>
          <w:color w:val="000000"/>
          <w:sz w:val="24"/>
          <w:szCs w:val="24"/>
        </w:rPr>
      </w:pPr>
      <w:bookmarkStart w:id="3" w:name="_x0waqf3w7rbt" w:colFirst="0" w:colLast="0"/>
      <w:bookmarkEnd w:id="3"/>
      <w:r>
        <w:rPr>
          <w:rFonts w:ascii="Arial" w:hAnsi="Arial" w:eastAsia="Arial" w:cs="Arial"/>
          <w:color w:val="000000"/>
          <w:sz w:val="24"/>
          <w:szCs w:val="24"/>
        </w:rPr>
        <w:t>2. Problem Statement</w:t>
      </w:r>
    </w:p>
    <w:p w14:paraId="651ABBF0">
      <w:pPr>
        <w:ind w:firstLine="720" w:firstLineChars="0"/>
        <w:jc w:val="both"/>
        <w:rPr>
          <w:rFonts w:hint="default" w:ascii="Arial" w:hAnsi="Arial" w:eastAsia="Arial" w:cs="Arial"/>
          <w:color w:val="000000"/>
          <w:lang w:val="en-PH"/>
        </w:rPr>
      </w:pPr>
      <w:r>
        <w:rPr>
          <w:rFonts w:ascii="Arial" w:hAnsi="Arial" w:eastAsia="Arial" w:cs="Arial"/>
          <w:color w:val="000000"/>
          <w:lang w:val="en-PH"/>
        </w:rPr>
        <w:t>Filipino workers, HR practitioners, and small-business owners frequently need quick, accurate answers to labor law questions - how much separation pay is owed, what counts as a just cause for termination, whether a worker is entitled to overtime pay - but the primary source of truth, the Labor Code of the Philippines (Presidential Decree No. 442) and its implementing DOLE issuances, is dense, cross-referenced legal text that is hard to search manually. Existing options fall short: browsing the statute directly requires legal literacy most users do not have; generic web search surfaces outdated blog posts, unofficial paraphrases, or content mixing multiple countries' labor laws; and asking a general-purpose chatbot risks confident-sounding but ungrounded (and potentially wrong) legal answers, which carries real financial and legal consequences. This project builds a Retrieval-Augmented Generation assistant that answers labor-law questions strictly grounded in, and citing, the actual statutory text, reducing the search burden without pretending to replace a lawyer.</w:t>
      </w:r>
    </w:p>
    <w:p w14:paraId="651ABBF1">
      <w:pPr>
        <w:pStyle w:val="11"/>
        <w:jc w:val="both"/>
        <w:rPr>
          <w:rFonts w:ascii="Arial" w:hAnsi="Arial" w:eastAsia="Arial" w:cs="Arial"/>
          <w:color w:val="000000"/>
          <w:sz w:val="24"/>
          <w:szCs w:val="24"/>
        </w:rPr>
      </w:pPr>
      <w:bookmarkStart w:id="4" w:name="_jspk1zc9loe5" w:colFirst="0" w:colLast="0"/>
      <w:bookmarkEnd w:id="4"/>
      <w:r>
        <w:rPr>
          <w:rFonts w:ascii="Arial" w:hAnsi="Arial" w:eastAsia="Arial" w:cs="Arial"/>
          <w:color w:val="000000"/>
          <w:sz w:val="24"/>
          <w:szCs w:val="24"/>
        </w:rPr>
        <w:t>3. Target Users</w:t>
      </w:r>
    </w:p>
    <w:p w14:paraId="651ABBF2">
      <w:pPr>
        <w:ind w:firstLine="720" w:firstLineChars="0"/>
        <w:jc w:val="both"/>
        <w:rPr>
          <w:rFonts w:hint="default" w:ascii="Arial" w:hAnsi="Arial" w:eastAsia="Arial" w:cs="Arial"/>
          <w:color w:val="000000"/>
          <w:lang w:val="en-PH"/>
        </w:rPr>
      </w:pPr>
      <w:r>
        <w:rPr>
          <w:rFonts w:ascii="Arial" w:hAnsi="Arial" w:eastAsia="Arial" w:cs="Arial"/>
          <w:color w:val="000000"/>
          <w:lang w:val="en-PH"/>
        </w:rPr>
        <w:t>Primary users: rank-and-file employees and job seekers who want a fast, plain-language answer to 'is this legal?' questions about their employment (termination, wages, hours, benefits) without paying for legal consultation. Secondary users: HR practitioners and small-business owners or managers who need a quick statutory reference while drafting policies, handling disciplinary cases, or computing separation or retirement pay, before escalating to formal legal counsel when needed. For both groups, the tool replaces manually searching or skimming the full Labor Code with a targeted, cited answer, turning a multi-page legal lookup into a single grounded response.</w:t>
      </w:r>
    </w:p>
    <w:p w14:paraId="651ABBF3">
      <w:pPr>
        <w:pStyle w:val="11"/>
        <w:jc w:val="both"/>
        <w:rPr>
          <w:rFonts w:ascii="Arial" w:hAnsi="Arial" w:eastAsia="Arial" w:cs="Arial"/>
          <w:color w:val="000000"/>
          <w:sz w:val="24"/>
          <w:szCs w:val="24"/>
        </w:rPr>
      </w:pPr>
      <w:bookmarkStart w:id="5" w:name="_tfvt9r9skzxn" w:colFirst="0" w:colLast="0"/>
      <w:bookmarkEnd w:id="5"/>
      <w:r>
        <w:rPr>
          <w:rFonts w:ascii="Arial" w:hAnsi="Arial" w:eastAsia="Arial" w:cs="Arial"/>
          <w:color w:val="000000"/>
          <w:sz w:val="24"/>
          <w:szCs w:val="24"/>
        </w:rPr>
        <w:t>4. Dataset Source(s)</w:t>
      </w:r>
    </w:p>
    <w:p w14:paraId="651ABBF4">
      <w:pPr>
        <w:ind w:firstLine="720" w:firstLineChars="0"/>
        <w:jc w:val="both"/>
        <w:rPr>
          <w:rFonts w:hint="default" w:ascii="Arial" w:hAnsi="Arial" w:eastAsia="Arial" w:cs="Arial"/>
          <w:color w:val="000000"/>
          <w:lang w:val="en-PH"/>
        </w:rPr>
      </w:pPr>
      <w:r>
        <w:rPr>
          <w:rFonts w:ascii="Arial" w:hAnsi="Arial" w:eastAsia="Arial" w:cs="Arial"/>
          <w:color w:val="000000"/>
          <w:lang w:val="en-PH"/>
        </w:rPr>
        <w:t>Our RAG knowledge base is grounded in the actual text of Presidential Decree No. 442 (the Labor Code of the Philippines, as amended), retrieved from its official public hosting on the LawPhil Project. Checkpoint 1 uses a 33-article subset covering the topics our target users ask about most; later checkpoints will expand this with DOLE Department Orders and Regional Wage Board wage orders.</w:t>
      </w:r>
    </w:p>
    <w:p w14:paraId="651ABBF5">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p>
    <w:p w14:paraId="651ABBF6">
      <w:pPr>
        <w:numPr>
          <w:ilvl w:val="0"/>
          <w:numId w:val="2"/>
        </w:numPr>
        <w:jc w:val="both"/>
      </w:pPr>
      <w:r>
        <w:rPr>
          <w:rFonts w:ascii="Arial" w:hAnsi="Arial" w:eastAsia="Arial" w:cs="Arial"/>
          <w:b/>
          <w:bCs/>
          <w:color w:val="000000"/>
        </w:rPr>
        <w:t>Data Type:</w:t>
      </w:r>
      <w:r>
        <w:rPr>
          <w:rFonts w:ascii="Arial" w:hAnsi="Arial" w:eastAsia="Arial" w:cs="Arial"/>
          <w:color w:val="000000"/>
          <w:lang w:val="en-PH"/>
        </w:rPr>
        <w:t xml:space="preserve"> Plain-text (.txt) files, one per Labor Code article, each tagged with its Book/Title/Chapter metadata.</w:t>
      </w:r>
    </w:p>
    <w:p w14:paraId="651ABBF7">
      <w:pPr>
        <w:numPr>
          <w:ilvl w:val="0"/>
          <w:numId w:val="2"/>
        </w:numPr>
        <w:jc w:val="both"/>
      </w:pPr>
      <w:r>
        <w:rPr>
          <w:rFonts w:ascii="Arial" w:hAnsi="Arial" w:eastAsia="Arial" w:cs="Arial"/>
          <w:b/>
          <w:bCs/>
          <w:color w:val="000000"/>
        </w:rPr>
        <w:t>Source:</w:t>
      </w:r>
      <w:r>
        <w:rPr>
          <w:rFonts w:ascii="Arial" w:hAnsi="Arial" w:eastAsia="Arial" w:cs="Arial"/>
          <w:color w:val="000000"/>
          <w:lang w:val="en-PH"/>
        </w:rPr>
        <w:t xml:space="preserve"> The LawPhil Project (lawphil.net) hosting of Presidential Decree No. 442, the Labor Code of the Philippines - an official, public-domain government legal text (CC BY-NC 3.0 attribution).</w:t>
      </w:r>
    </w:p>
    <w:p w14:paraId="651ABBF8">
      <w:pPr>
        <w:numPr>
          <w:ilvl w:val="0"/>
          <w:numId w:val="2"/>
        </w:numPr>
        <w:jc w:val="both"/>
      </w:pPr>
      <w:r>
        <w:rPr>
          <w:rFonts w:ascii="Arial" w:hAnsi="Arial" w:eastAsia="Arial" w:cs="Arial"/>
          <w:b/>
          <w:bCs/>
          <w:color w:val="000000"/>
        </w:rPr>
        <w:t>Volume:</w:t>
      </w:r>
      <w:r>
        <w:rPr>
          <w:rFonts w:ascii="Arial" w:hAnsi="Arial" w:eastAsia="Arial" w:cs="Arial"/>
          <w:color w:val="000000"/>
          <w:lang w:val="en-PH"/>
        </w:rPr>
        <w:t xml:space="preserve"> 33 articles (~2,726 tokens) from Book One (Pre-Employment), Book Three (Conditions of Employment), and Book Six (Post-Employment); to be expanded with DOLE issuances in later checkpoints.</w:t>
      </w:r>
    </w:p>
    <w:p w14:paraId="651ABBF9">
      <w:pPr>
        <w:pStyle w:val="11"/>
        <w:jc w:val="both"/>
        <w:rPr>
          <w:rFonts w:ascii="Arial" w:hAnsi="Arial" w:eastAsia="Arial" w:cs="Arial"/>
          <w:color w:val="000000"/>
          <w:sz w:val="24"/>
          <w:szCs w:val="24"/>
        </w:rPr>
      </w:pPr>
      <w:bookmarkStart w:id="6" w:name="_12e8y6cs3gz3" w:colFirst="0" w:colLast="0"/>
      <w:bookmarkEnd w:id="6"/>
      <w:r>
        <w:rPr>
          <w:rFonts w:ascii="Arial" w:hAnsi="Arial" w:eastAsia="Arial" w:cs="Arial"/>
          <w:color w:val="000000"/>
          <w:sz w:val="24"/>
          <w:szCs w:val="24"/>
        </w:rPr>
        <w:t>5. Success Criteria</w:t>
      </w:r>
    </w:p>
    <w:p w14:paraId="651ABBFA">
      <w:pPr>
        <w:jc w:val="both"/>
        <w:rPr>
          <w:rFonts w:hint="default" w:ascii="Arial" w:hAnsi="Arial" w:eastAsia="Arial" w:cs="Arial"/>
          <w:color w:val="000000"/>
          <w:lang w:val="en-PH"/>
        </w:rPr>
      </w:pPr>
      <w:r>
        <w:rPr>
          <w:rFonts w:ascii="Arial" w:hAnsi="Arial" w:eastAsia="Arial" w:cs="Arial"/>
          <w:color w:val="000000"/>
          <w:lang w:val="en-PH"/>
        </w:rPr>
        <w:t>The following measurable criteria, evaluated using the corpus and embeddings built for this checkpoint, define a successful project:</w:t>
      </w:r>
    </w:p>
    <w:p w14:paraId="651ABBFB">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p>
    <w:p w14:paraId="651ABBFC">
      <w:pPr>
        <w:numPr>
          <w:ilvl w:val="0"/>
          <w:numId w:val="3"/>
        </w:numPr>
        <w:jc w:val="both"/>
      </w:pPr>
      <w:r>
        <w:rPr>
          <w:rFonts w:ascii="Arial" w:hAnsi="Arial" w:eastAsia="Arial" w:cs="Arial"/>
          <w:b/>
          <w:bCs/>
          <w:color w:val="000000"/>
        </w:rPr>
        <w:t>Technical Accuracy:</w:t>
      </w:r>
      <w:r>
        <w:rPr>
          <w:rFonts w:ascii="Arial" w:hAnsi="Arial" w:eastAsia="Arial" w:cs="Arial"/>
          <w:color w:val="000000"/>
          <w:lang w:val="en-PH"/>
        </w:rPr>
        <w:t xml:space="preserve"> The system cites the specific Labor Code article number for at least 90% of answered queries, and correctly refuses or flags out-of-scope test queries (e.g., questions about non-Philippine law) instead of hallucinating an answer.</w:t>
      </w:r>
    </w:p>
    <w:p w14:paraId="651ABBFD">
      <w:pPr>
        <w:numPr>
          <w:ilvl w:val="0"/>
          <w:numId w:val="3"/>
        </w:numPr>
        <w:jc w:val="both"/>
      </w:pPr>
      <w:r>
        <w:rPr>
          <w:rFonts w:ascii="Arial" w:hAnsi="Arial" w:eastAsia="Arial" w:cs="Arial"/>
          <w:b/>
          <w:bCs/>
          <w:color w:val="000000"/>
        </w:rPr>
        <w:t>Performance:</w:t>
      </w:r>
      <w:r>
        <w:rPr>
          <w:rFonts w:ascii="Arial" w:hAnsi="Arial" w:eastAsia="Arial" w:cs="Arial"/>
          <w:color w:val="000000"/>
          <w:lang w:val="en-PH"/>
        </w:rPr>
        <w:t xml:space="preserve"> Given the embedded corpus, similarity search returns the correct source article in the top-3 results for at least 8 of 10 benchmark questions, with retrieval latency under 2 seconds.</w:t>
      </w:r>
    </w:p>
    <w:p w14:paraId="651ABBFE">
      <w:pPr>
        <w:numPr>
          <w:ilvl w:val="0"/>
          <w:numId w:val="3"/>
        </w:numPr>
        <w:jc w:val="both"/>
      </w:pPr>
      <w:r>
        <w:rPr>
          <w:rFonts w:ascii="Arial" w:hAnsi="Arial" w:eastAsia="Arial" w:cs="Arial"/>
          <w:b/>
          <w:bCs/>
          <w:color w:val="000000"/>
        </w:rPr>
        <w:t>Utility:</w:t>
      </w:r>
      <w:r>
        <w:rPr>
          <w:rFonts w:ascii="Arial" w:hAnsi="Arial" w:eastAsia="Arial" w:cs="Arial"/>
          <w:color w:val="000000"/>
          <w:lang w:val="en-PH"/>
        </w:rPr>
        <w:t xml:space="preserve"> The bot correctly answers at least 5 realistic domain questions (e.g., 'What is the minimum notice period before termination for authorized causes?') without hallucination, verified against the source text.</w:t>
      </w:r>
    </w:p>
    <w:p w14:paraId="651ABBFF">
      <w:pPr>
        <w:pStyle w:val="11"/>
        <w:jc w:val="both"/>
        <w:rPr>
          <w:rFonts w:ascii="Arial" w:hAnsi="Arial" w:eastAsia="Arial" w:cs="Arial"/>
          <w:color w:val="000000"/>
          <w:sz w:val="24"/>
          <w:szCs w:val="24"/>
        </w:rPr>
      </w:pPr>
      <w:bookmarkStart w:id="7" w:name="_z1havikw3vj5" w:colFirst="0" w:colLast="0"/>
      <w:bookmarkEnd w:id="7"/>
      <w:r>
        <w:rPr>
          <w:rFonts w:ascii="Arial" w:hAnsi="Arial" w:eastAsia="Arial" w:cs="Arial"/>
          <w:color w:val="000000"/>
          <w:sz w:val="24"/>
          <w:szCs w:val="24"/>
        </w:rPr>
        <w:t>6. Team Composition</w:t>
      </w:r>
    </w:p>
    <w:p w14:paraId="651ABC00">
      <w:pPr>
        <w:jc w:val="both"/>
        <w:rPr>
          <w:rFonts w:ascii="Arial" w:hAnsi="Arial" w:eastAsia="Arial" w:cs="Arial"/>
          <w:color w:val="000000"/>
        </w:rPr>
      </w:pPr>
      <w:r>
        <w:rPr>
          <w:rFonts w:ascii="Arial" w:hAnsi="Arial" w:eastAsia="Arial" w:cs="Arial"/>
          <w:color w:val="000000"/>
        </w:rPr>
        <w:t>As per course requirements, each teammate must own a clear pipeline component.</w:t>
      </w:r>
    </w:p>
    <w:p w14:paraId="651ABC01">
      <w:pPr>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rFonts w:ascii="Arial" w:hAnsi="Arial" w:eastAsia="Arial" w:cs="Arial"/>
          <w:color w:val="000000"/>
        </w:rPr>
      </w:pPr>
    </w:p>
    <w:tbl>
      <w:tblPr>
        <w:tblStyle w:val="13"/>
        <w:tblW w:w="9360" w:type="dxa"/>
        <w:tblInd w:w="0" w:type="dxa"/>
        <w:tblBorders>
          <w:top w:val="single" w:color="E0E0E0" w:sz="8" w:space="0"/>
          <w:left w:val="none" w:color="auto" w:sz="0" w:space="0"/>
          <w:bottom w:val="single" w:color="E0E0E0" w:sz="8" w:space="0"/>
          <w:right w:val="none" w:color="auto" w:sz="0" w:space="0"/>
          <w:insideH w:val="single" w:color="F5F5F5" w:sz="8" w:space="0"/>
          <w:insideV w:val="single" w:color="F5F5F5" w:sz="8" w:space="0"/>
        </w:tblBorders>
        <w:tblLayout w:type="fixed"/>
        <w:tblCellMar>
          <w:top w:w="160" w:type="dxa"/>
          <w:left w:w="200" w:type="dxa"/>
          <w:bottom w:w="160" w:type="dxa"/>
          <w:right w:w="200" w:type="dxa"/>
        </w:tblCellMar>
      </w:tblPr>
      <w:tblGrid>
        <w:gridCol w:w="3120"/>
        <w:gridCol w:w="3120"/>
        <w:gridCol w:w="3120"/>
      </w:tblGrid>
      <w:tr w14:paraId="651ABC05">
        <w:tblPrEx>
          <w:tblBorders>
            <w:top w:val="single" w:color="E0E0E0" w:sz="8" w:space="0"/>
            <w:left w:val="none" w:color="auto" w:sz="0" w:space="0"/>
            <w:bottom w:val="single" w:color="E0E0E0" w:sz="8" w:space="0"/>
            <w:right w:val="none" w:color="auto" w:sz="0" w:space="0"/>
            <w:insideH w:val="single" w:color="F5F5F5" w:sz="8" w:space="0"/>
            <w:insideV w:val="single" w:color="F5F5F5" w:sz="8" w:space="0"/>
          </w:tblBorders>
          <w:tblCellMar>
            <w:top w:w="160" w:type="dxa"/>
            <w:left w:w="200" w:type="dxa"/>
            <w:bottom w:w="160" w:type="dxa"/>
            <w:right w:w="200" w:type="dxa"/>
          </w:tblCellMar>
        </w:tblPrEx>
        <w:trPr>
          <w:tblHeader/>
        </w:trPr>
        <w:tc>
          <w:tcPr>
            <w:tcW w:w="3120" w:type="dxa"/>
            <w:tcBorders>
              <w:bottom w:val="single" w:color="EFEFEF" w:sz="8" w:space="0"/>
            </w:tcBorders>
            <w:shd w:val="clear" w:color="auto" w:fill="F8F9FA"/>
            <w:vAlign w:val="center"/>
          </w:tcPr>
          <w:p w14:paraId="651ABC02">
            <w:pPr>
              <w:jc w:val="both"/>
              <w:rPr>
                <w:rFonts w:ascii="Arial" w:hAnsi="Arial" w:eastAsia="Arial" w:cs="Arial"/>
                <w:b/>
                <w:bCs/>
                <w:i w:val="0"/>
                <w:iCs w:val="0"/>
                <w:color w:val="000000"/>
                <w:sz w:val="24"/>
                <w:szCs w:val="24"/>
              </w:rPr>
            </w:pPr>
            <w:r>
              <w:rPr>
                <w:rFonts w:ascii="Arial" w:hAnsi="Arial" w:eastAsia="Arial" w:cs="Arial"/>
                <w:b/>
                <w:bCs/>
                <w:i w:val="0"/>
                <w:iCs w:val="0"/>
                <w:color w:val="000000"/>
                <w:sz w:val="24"/>
                <w:szCs w:val="24"/>
              </w:rPr>
              <w:t>Team Member Name</w:t>
            </w:r>
          </w:p>
        </w:tc>
        <w:tc>
          <w:tcPr>
            <w:tcW w:w="3120" w:type="dxa"/>
            <w:tcBorders>
              <w:bottom w:val="single" w:color="EFEFEF" w:sz="8" w:space="0"/>
            </w:tcBorders>
            <w:shd w:val="clear" w:color="auto" w:fill="F8F9FA"/>
            <w:vAlign w:val="center"/>
          </w:tcPr>
          <w:p w14:paraId="651ABC03">
            <w:pPr>
              <w:jc w:val="both"/>
              <w:rPr>
                <w:rFonts w:ascii="Arial" w:hAnsi="Arial" w:eastAsia="Arial" w:cs="Arial"/>
                <w:b/>
                <w:bCs/>
                <w:i w:val="0"/>
                <w:iCs w:val="0"/>
                <w:color w:val="000000"/>
                <w:sz w:val="24"/>
                <w:szCs w:val="24"/>
              </w:rPr>
            </w:pPr>
            <w:r>
              <w:rPr>
                <w:rFonts w:ascii="Arial" w:hAnsi="Arial" w:eastAsia="Arial" w:cs="Arial"/>
                <w:b/>
                <w:bCs/>
                <w:i w:val="0"/>
                <w:iCs w:val="0"/>
                <w:color w:val="000000"/>
                <w:sz w:val="24"/>
                <w:szCs w:val="24"/>
              </w:rPr>
              <w:t>Primary Responsibility</w:t>
            </w:r>
          </w:p>
        </w:tc>
        <w:tc>
          <w:tcPr>
            <w:tcW w:w="3120" w:type="dxa"/>
            <w:tcBorders>
              <w:bottom w:val="single" w:color="EFEFEF" w:sz="8" w:space="0"/>
            </w:tcBorders>
            <w:shd w:val="clear" w:color="auto" w:fill="F8F9FA"/>
            <w:vAlign w:val="center"/>
          </w:tcPr>
          <w:p w14:paraId="651ABC04">
            <w:pPr>
              <w:jc w:val="both"/>
              <w:rPr>
                <w:rFonts w:ascii="Arial" w:hAnsi="Arial" w:eastAsia="Arial" w:cs="Arial"/>
                <w:b/>
                <w:bCs/>
                <w:i w:val="0"/>
                <w:iCs w:val="0"/>
                <w:color w:val="000000"/>
                <w:sz w:val="24"/>
                <w:szCs w:val="24"/>
              </w:rPr>
            </w:pPr>
            <w:r>
              <w:rPr>
                <w:rFonts w:ascii="Arial" w:hAnsi="Arial" w:eastAsia="Arial" w:cs="Arial"/>
                <w:b/>
                <w:bCs/>
                <w:i w:val="0"/>
                <w:iCs w:val="0"/>
                <w:color w:val="000000"/>
                <w:sz w:val="24"/>
                <w:szCs w:val="24"/>
              </w:rPr>
              <w:t>Assigned Component</w:t>
            </w:r>
          </w:p>
        </w:tc>
      </w:tr>
      <w:tr w14:paraId="651ABC09">
        <w:tblPrEx>
          <w:tblBorders>
            <w:top w:val="single" w:color="E0E0E0" w:sz="8" w:space="0"/>
            <w:left w:val="none" w:color="auto" w:sz="0" w:space="0"/>
            <w:bottom w:val="single" w:color="E0E0E0" w:sz="8" w:space="0"/>
            <w:right w:val="none" w:color="auto" w:sz="0" w:space="0"/>
            <w:insideH w:val="single" w:color="F5F5F5" w:sz="8" w:space="0"/>
            <w:insideV w:val="single" w:color="F5F5F5" w:sz="8" w:space="0"/>
          </w:tblBorders>
          <w:tblCellMar>
            <w:top w:w="160" w:type="dxa"/>
            <w:left w:w="200" w:type="dxa"/>
            <w:bottom w:w="160" w:type="dxa"/>
            <w:right w:w="200" w:type="dxa"/>
          </w:tblCellMar>
        </w:tblPrEx>
        <w:tc>
          <w:tcPr>
            <w:tcW w:w="3120" w:type="dxa"/>
            <w:tcBorders>
              <w:top w:val="single" w:color="EFEFEF" w:sz="8" w:space="0"/>
              <w:left w:val="single" w:color="EFEFEF" w:sz="8" w:space="0"/>
              <w:bottom w:val="single" w:color="EFEFEF" w:sz="8" w:space="0"/>
              <w:right w:val="single" w:color="EFEFEF" w:sz="8" w:space="0"/>
            </w:tcBorders>
            <w:shd w:val="clear" w:color="auto" w:fill="FFFFFF"/>
            <w:vAlign w:val="center"/>
          </w:tcPr>
          <w:p w14:paraId="651ABC06">
            <w:pPr>
              <w:jc w:val="both"/>
              <w:rPr>
                <w:rFonts w:ascii="Arial" w:hAnsi="Arial" w:eastAsia="Arial" w:cs="Arial"/>
                <w:color w:val="000000"/>
              </w:rPr>
            </w:pPr>
            <w:r>
              <w:rPr>
                <w:rFonts w:ascii="Arial" w:hAnsi="Arial" w:eastAsia="Arial" w:cs="Arial"/>
                <w:color w:val="000000"/>
              </w:rPr>
              <w:t>Jeziel Lea Mitch Credo</w:t>
            </w:r>
          </w:p>
        </w:tc>
        <w:tc>
          <w:tcPr>
            <w:tcW w:w="3120" w:type="dxa"/>
            <w:tcBorders>
              <w:top w:val="single" w:color="EFEFEF" w:sz="8" w:space="0"/>
              <w:left w:val="single" w:color="EFEFEF" w:sz="8" w:space="0"/>
              <w:bottom w:val="single" w:color="EFEFEF" w:sz="8" w:space="0"/>
              <w:right w:val="single" w:color="EFEFEF" w:sz="8" w:space="0"/>
            </w:tcBorders>
            <w:shd w:val="clear" w:color="auto" w:fill="FFFFFF"/>
            <w:vAlign w:val="center"/>
          </w:tcPr>
          <w:p w14:paraId="651ABC07">
            <w:pPr>
              <w:jc w:val="both"/>
              <w:rPr>
                <w:rFonts w:ascii="Arial" w:hAnsi="Arial" w:eastAsia="Arial" w:cs="Arial"/>
                <w:color w:val="000000"/>
              </w:rPr>
            </w:pPr>
            <w:r>
              <w:rPr>
                <w:rFonts w:ascii="Arial" w:hAnsi="Arial" w:eastAsia="Arial" w:cs="Arial"/>
                <w:color w:val="000000"/>
              </w:rPr>
              <w:t>Lead Developer</w:t>
            </w:r>
          </w:p>
        </w:tc>
        <w:tc>
          <w:tcPr>
            <w:tcW w:w="3120" w:type="dxa"/>
            <w:tcBorders>
              <w:top w:val="single" w:color="EFEFEF" w:sz="8" w:space="0"/>
              <w:left w:val="single" w:color="EFEFEF" w:sz="8" w:space="0"/>
              <w:bottom w:val="single" w:color="EFEFEF" w:sz="8" w:space="0"/>
              <w:right w:val="single" w:color="EFEFEF" w:sz="8" w:space="0"/>
            </w:tcBorders>
            <w:shd w:val="clear" w:color="auto" w:fill="FFFFFF"/>
            <w:vAlign w:val="center"/>
          </w:tcPr>
          <w:p w14:paraId="651ABC08">
            <w:pPr>
              <w:jc w:val="both"/>
              <w:rPr>
                <w:rFonts w:ascii="Arial" w:hAnsi="Arial" w:eastAsia="Arial" w:cs="Arial"/>
                <w:color w:val="000000"/>
              </w:rPr>
            </w:pPr>
            <w:r>
              <w:rPr>
                <w:rFonts w:ascii="Arial" w:hAnsi="Arial" w:eastAsia="Arial" w:cs="Arial"/>
                <w:color w:val="000000"/>
              </w:rPr>
              <w:t>Data Pipeline &amp; Embeddings</w:t>
            </w:r>
          </w:p>
        </w:tc>
      </w:tr>
      <w:tr w14:paraId="651ABC0D">
        <w:tblPrEx>
          <w:tblBorders>
            <w:top w:val="single" w:color="E0E0E0" w:sz="8" w:space="0"/>
            <w:left w:val="none" w:color="auto" w:sz="0" w:space="0"/>
            <w:bottom w:val="single" w:color="E0E0E0" w:sz="8" w:space="0"/>
            <w:right w:val="none" w:color="auto" w:sz="0" w:space="0"/>
            <w:insideH w:val="single" w:color="F5F5F5" w:sz="8" w:space="0"/>
            <w:insideV w:val="single" w:color="F5F5F5" w:sz="8" w:space="0"/>
          </w:tblBorders>
          <w:tblCellMar>
            <w:top w:w="160" w:type="dxa"/>
            <w:left w:w="200" w:type="dxa"/>
            <w:bottom w:w="160" w:type="dxa"/>
            <w:right w:w="200" w:type="dxa"/>
          </w:tblCellMar>
        </w:tblPrEx>
        <w:tc>
          <w:tcPr>
            <w:tcW w:w="3120" w:type="dxa"/>
            <w:tcBorders>
              <w:top w:val="single" w:color="EFEFEF" w:sz="8" w:space="0"/>
              <w:left w:val="single" w:color="EFEFEF" w:sz="8" w:space="0"/>
              <w:bottom w:val="single" w:color="EFEFEF" w:sz="8" w:space="0"/>
              <w:right w:val="single" w:color="EFEFEF" w:sz="8" w:space="0"/>
            </w:tcBorders>
            <w:shd w:val="clear" w:color="auto" w:fill="FFFFFF"/>
            <w:vAlign w:val="center"/>
          </w:tcPr>
          <w:p w14:paraId="651ABC0A">
            <w:pPr>
              <w:jc w:val="both"/>
              <w:rPr>
                <w:rFonts w:ascii="Arial" w:hAnsi="Arial" w:eastAsia="Arial" w:cs="Arial"/>
                <w:color w:val="000000"/>
              </w:rPr>
            </w:pPr>
            <w:r>
              <w:rPr>
                <w:rFonts w:ascii="Arial" w:hAnsi="Arial" w:eastAsia="Arial" w:cs="Arial"/>
                <w:color w:val="000000"/>
              </w:rPr>
              <w:t>Nicka Hinlayagan</w:t>
            </w:r>
          </w:p>
        </w:tc>
        <w:tc>
          <w:tcPr>
            <w:tcW w:w="3120" w:type="dxa"/>
            <w:tcBorders>
              <w:top w:val="single" w:color="EFEFEF" w:sz="8" w:space="0"/>
              <w:left w:val="single" w:color="EFEFEF" w:sz="8" w:space="0"/>
              <w:bottom w:val="single" w:color="EFEFEF" w:sz="8" w:space="0"/>
              <w:right w:val="single" w:color="EFEFEF" w:sz="8" w:space="0"/>
            </w:tcBorders>
            <w:shd w:val="clear" w:color="auto" w:fill="FFFFFF"/>
            <w:vAlign w:val="center"/>
          </w:tcPr>
          <w:p w14:paraId="651ABC0B">
            <w:pPr>
              <w:jc w:val="both"/>
              <w:rPr>
                <w:rFonts w:ascii="Arial" w:hAnsi="Arial" w:eastAsia="Arial" w:cs="Arial"/>
                <w:color w:val="000000"/>
              </w:rPr>
            </w:pPr>
            <w:r>
              <w:rPr>
                <w:rFonts w:ascii="Arial" w:hAnsi="Arial" w:eastAsia="Arial" w:cs="Arial"/>
                <w:color w:val="000000"/>
              </w:rPr>
              <w:t>AI Orchestrator</w:t>
            </w:r>
          </w:p>
        </w:tc>
        <w:tc>
          <w:tcPr>
            <w:tcW w:w="3120" w:type="dxa"/>
            <w:tcBorders>
              <w:top w:val="single" w:color="EFEFEF" w:sz="8" w:space="0"/>
              <w:left w:val="single" w:color="EFEFEF" w:sz="8" w:space="0"/>
              <w:bottom w:val="single" w:color="EFEFEF" w:sz="8" w:space="0"/>
              <w:right w:val="single" w:color="EFEFEF" w:sz="8" w:space="0"/>
            </w:tcBorders>
            <w:shd w:val="clear" w:color="auto" w:fill="FFFFFF"/>
            <w:vAlign w:val="center"/>
          </w:tcPr>
          <w:p w14:paraId="651ABC0C">
            <w:pPr>
              <w:jc w:val="both"/>
              <w:rPr>
                <w:rFonts w:ascii="Arial" w:hAnsi="Arial" w:eastAsia="Arial" w:cs="Arial"/>
                <w:color w:val="000000"/>
              </w:rPr>
            </w:pPr>
            <w:r>
              <w:rPr>
                <w:rFonts w:ascii="Arial" w:hAnsi="Arial" w:eastAsia="Arial" w:cs="Arial"/>
                <w:color w:val="000000"/>
              </w:rPr>
              <w:t>RAG Architecture &amp; Prompting</w:t>
            </w:r>
          </w:p>
        </w:tc>
      </w:tr>
      <w:tr w14:paraId="651ABC11">
        <w:tblPrEx>
          <w:tblBorders>
            <w:top w:val="single" w:color="E0E0E0" w:sz="8" w:space="0"/>
            <w:left w:val="none" w:color="auto" w:sz="0" w:space="0"/>
            <w:bottom w:val="single" w:color="E0E0E0" w:sz="8" w:space="0"/>
            <w:right w:val="none" w:color="auto" w:sz="0" w:space="0"/>
            <w:insideH w:val="single" w:color="F5F5F5" w:sz="8" w:space="0"/>
            <w:insideV w:val="single" w:color="F5F5F5" w:sz="8" w:space="0"/>
          </w:tblBorders>
          <w:tblCellMar>
            <w:top w:w="160" w:type="dxa"/>
            <w:left w:w="200" w:type="dxa"/>
            <w:bottom w:w="160" w:type="dxa"/>
            <w:right w:w="200" w:type="dxa"/>
          </w:tblCellMar>
        </w:tblPrEx>
        <w:tc>
          <w:tcPr>
            <w:tcW w:w="3120" w:type="dxa"/>
            <w:tcBorders>
              <w:top w:val="single" w:color="EFEFEF" w:sz="8" w:space="0"/>
              <w:left w:val="single" w:color="EFEFEF" w:sz="8" w:space="0"/>
              <w:bottom w:val="single" w:color="EFEFEF" w:sz="8" w:space="0"/>
              <w:right w:val="single" w:color="EFEFEF" w:sz="8" w:space="0"/>
            </w:tcBorders>
            <w:shd w:val="clear" w:color="auto" w:fill="FFFFFF"/>
            <w:vAlign w:val="center"/>
          </w:tcPr>
          <w:p w14:paraId="651ABC0E">
            <w:pPr>
              <w:jc w:val="both"/>
              <w:rPr>
                <w:rFonts w:ascii="Arial" w:hAnsi="Arial" w:eastAsia="Arial" w:cs="Arial"/>
                <w:color w:val="000000"/>
              </w:rPr>
            </w:pPr>
            <w:r>
              <w:rPr>
                <w:rFonts w:ascii="Arial" w:hAnsi="Arial" w:eastAsia="Arial" w:cs="Arial"/>
                <w:color w:val="000000"/>
              </w:rPr>
              <w:t>Jennilyn Manatad</w:t>
            </w:r>
          </w:p>
        </w:tc>
        <w:tc>
          <w:tcPr>
            <w:tcW w:w="3120" w:type="dxa"/>
            <w:tcBorders>
              <w:top w:val="single" w:color="EFEFEF" w:sz="8" w:space="0"/>
              <w:left w:val="single" w:color="EFEFEF" w:sz="8" w:space="0"/>
              <w:bottom w:val="single" w:color="EFEFEF" w:sz="8" w:space="0"/>
              <w:right w:val="single" w:color="EFEFEF" w:sz="8" w:space="0"/>
            </w:tcBorders>
            <w:shd w:val="clear" w:color="auto" w:fill="FFFFFF"/>
            <w:vAlign w:val="center"/>
          </w:tcPr>
          <w:p w14:paraId="651ABC0F">
            <w:pPr>
              <w:jc w:val="both"/>
              <w:rPr>
                <w:rFonts w:ascii="Arial" w:hAnsi="Arial" w:eastAsia="Arial" w:cs="Arial"/>
                <w:color w:val="000000"/>
              </w:rPr>
            </w:pPr>
            <w:r>
              <w:rPr>
                <w:rFonts w:ascii="Arial" w:hAnsi="Arial" w:eastAsia="Arial" w:cs="Arial"/>
                <w:color w:val="000000"/>
              </w:rPr>
              <w:t>DevOps/UI</w:t>
            </w:r>
          </w:p>
        </w:tc>
        <w:tc>
          <w:tcPr>
            <w:tcW w:w="3120" w:type="dxa"/>
            <w:tcBorders>
              <w:top w:val="single" w:color="EFEFEF" w:sz="8" w:space="0"/>
              <w:left w:val="single" w:color="EFEFEF" w:sz="8" w:space="0"/>
              <w:bottom w:val="single" w:color="EFEFEF" w:sz="8" w:space="0"/>
              <w:right w:val="single" w:color="EFEFEF" w:sz="8" w:space="0"/>
            </w:tcBorders>
            <w:shd w:val="clear" w:color="auto" w:fill="FFFFFF"/>
            <w:vAlign w:val="center"/>
          </w:tcPr>
          <w:p w14:paraId="651ABC10">
            <w:pPr>
              <w:jc w:val="both"/>
              <w:rPr>
                <w:rFonts w:ascii="Arial" w:hAnsi="Arial" w:eastAsia="Arial" w:cs="Arial"/>
                <w:color w:val="000000"/>
              </w:rPr>
            </w:pPr>
            <w:r>
              <w:rPr>
                <w:rFonts w:ascii="Arial" w:hAnsi="Arial" w:eastAsia="Arial" w:cs="Arial"/>
                <w:color w:val="000000"/>
              </w:rPr>
              <w:t>Deployment &amp; Interface</w:t>
            </w:r>
          </w:p>
        </w:tc>
      </w:tr>
    </w:tbl>
    <w:p w14:paraId="651ABC12">
      <w:pPr>
        <w:jc w:val="both"/>
        <w:rPr>
          <w:rFonts w:ascii="Arial" w:hAnsi="Arial" w:eastAsia="Arial" w:cs="Arial"/>
          <w:color w:val="000000"/>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7AAF2EF4-3034-47B4-9D34-69A0147B682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8E62DC6-574F-43AA-A21D-5DAD4F7A3A79}"/>
  </w:font>
  <w:font w:name="Wingdings">
    <w:panose1 w:val="05000000000000000000"/>
    <w:charset w:val="02"/>
    <w:family w:val="auto"/>
    <w:pitch w:val="default"/>
    <w:sig w:usb0="00000000" w:usb1="00000000" w:usb2="00000000" w:usb3="00000000" w:csb0="80000000" w:csb1="00000000"/>
    <w:embedRegular r:id="rId3" w:fontKey="{002475D6-6969-4CCE-83DD-BB1A98778DFC}"/>
  </w:font>
  <w:font w:name="Calibri">
    <w:panose1 w:val="020F0502020204030204"/>
    <w:charset w:val="00"/>
    <w:family w:val="swiss"/>
    <w:pitch w:val="default"/>
    <w:sig w:usb0="E4002EFF" w:usb1="C200247B" w:usb2="00000009" w:usb3="00000000" w:csb0="200001FF" w:csb1="00000000"/>
    <w:embedRegular r:id="rId4" w:fontKey="{C2A2FA7F-F782-4936-8EEC-F1DEF5978234}"/>
  </w:font>
  <w:font w:name="等线">
    <w:altName w:val="Microsoft YaHei"/>
    <w:panose1 w:val="00000000000000000000"/>
    <w:charset w:val="86"/>
    <w:family w:val="auto"/>
    <w:pitch w:val="default"/>
    <w:sig w:usb0="00000000" w:usb1="00000000" w:usb2="00000000" w:usb3="00000000" w:csb0="00000000" w:csb1="00000000"/>
  </w:font>
  <w:font w:name="Outfit">
    <w:altName w:val="SimSun"/>
    <w:panose1 w:val="00000000000000000000"/>
    <w:charset w:val="86"/>
    <w:family w:val="auto"/>
    <w:pitch w:val="default"/>
    <w:sig w:usb0="00000000" w:usb1="00000000" w:usb2="00000000" w:usb3="00000000" w:csb0="00000000" w:csb1="00000000"/>
    <w:embedRegular r:id="rId5" w:fontKey="{5FA8A377-4390-4BBF-90F3-1F53F739ABB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ABC1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6E478A"/>
    <w:multiLevelType w:val="multilevel"/>
    <w:tmpl w:val="156E478A"/>
    <w:lvl w:ilvl="0" w:tentative="0">
      <w:start w:val="1"/>
      <w:numFmt w:val="decimal"/>
      <w:lvlText w:val="%1."/>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lowerLetter"/>
      <w:lvlText w:val="%2."/>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lowerRoman"/>
      <w:lvlText w:val="%3."/>
      <w:lvlJc w:val="righ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decimal"/>
      <w:lvlText w:val="%4."/>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lowerLetter"/>
      <w:lvlText w:val="%5."/>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lowerRoman"/>
      <w:lvlText w:val="%6."/>
      <w:lvlJc w:val="righ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decimal"/>
      <w:lvlText w:val="%7."/>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lowerLetter"/>
      <w:lvlText w:val="%8."/>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lowerRoman"/>
      <w:lvlText w:val="%9."/>
      <w:lvlJc w:val="righ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nsid w:val="4DA50A87"/>
    <w:multiLevelType w:val="multilevel"/>
    <w:tmpl w:val="4DA50A87"/>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nsid w:val="6C2517D6"/>
    <w:multiLevelType w:val="multilevel"/>
    <w:tmpl w:val="6C2517D6"/>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C0B"/>
    <w:rsid w:val="001F4040"/>
    <w:rsid w:val="0050287C"/>
    <w:rsid w:val="005D1C4B"/>
    <w:rsid w:val="00796C0B"/>
    <w:rsid w:val="105024E6"/>
    <w:rsid w:val="4F4D0090"/>
    <w:rsid w:val="7E1C16C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Outfit" w:hAnsi="Outfit" w:eastAsia="Outfit" w:cs="Outfit"/>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Outfit" w:hAnsi="Outfit" w:eastAsia="Outfit" w:cs="Outfit"/>
      <w:color w:val="333333"/>
      <w:sz w:val="24"/>
      <w:szCs w:val="24"/>
      <w:lang w:val="en" w:eastAsia="en-PH" w:bidi="ar-SA"/>
    </w:rPr>
  </w:style>
  <w:style w:type="paragraph" w:styleId="2">
    <w:name w:val="heading 1"/>
    <w:basedOn w:val="1"/>
    <w:next w:val="1"/>
    <w:qFormat/>
    <w:uiPriority w:val="9"/>
    <w:pPr>
      <w:keepNext/>
      <w:keepLines/>
      <w:spacing w:before="480" w:after="120" w:line="288" w:lineRule="auto"/>
      <w:outlineLvl w:val="0"/>
    </w:pPr>
    <w:rPr>
      <w:b/>
      <w:bCs/>
      <w:color w:val="1A237E"/>
      <w:sz w:val="36"/>
      <w:szCs w:val="36"/>
    </w:rPr>
  </w:style>
  <w:style w:type="paragraph" w:styleId="3">
    <w:name w:val="heading 2"/>
    <w:basedOn w:val="1"/>
    <w:next w:val="1"/>
    <w:semiHidden/>
    <w:unhideWhenUsed/>
    <w:qFormat/>
    <w:uiPriority w:val="9"/>
    <w:pPr>
      <w:keepNext/>
      <w:keepLines/>
      <w:spacing w:before="360" w:after="80" w:line="288" w:lineRule="auto"/>
      <w:outlineLvl w:val="1"/>
    </w:pPr>
    <w:rPr>
      <w:b/>
      <w:bCs/>
      <w:color w:val="283593"/>
      <w:sz w:val="28"/>
      <w:szCs w:val="28"/>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rPr>
  </w:style>
  <w:style w:type="paragraph" w:styleId="6">
    <w:name w:val="heading 5"/>
    <w:basedOn w:val="1"/>
    <w:next w:val="1"/>
    <w:semiHidden/>
    <w:unhideWhenUsed/>
    <w:qFormat/>
    <w:uiPriority w:val="9"/>
    <w:pPr>
      <w:keepNext/>
      <w:keepLines/>
      <w:spacing w:before="220" w:after="40"/>
      <w:outlineLvl w:val="4"/>
    </w:pPr>
    <w:rPr>
      <w:b/>
      <w:bCs/>
      <w:sz w:val="22"/>
      <w:szCs w:val="22"/>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line="240" w:lineRule="auto"/>
    </w:pPr>
    <w:rPr>
      <w:i/>
      <w:iCs/>
      <w:color w:val="5C6BC0"/>
      <w:sz w:val="28"/>
      <w:szCs w:val="28"/>
    </w:rPr>
  </w:style>
  <w:style w:type="paragraph" w:styleId="11">
    <w:name w:val="Title"/>
    <w:basedOn w:val="1"/>
    <w:next w:val="1"/>
    <w:qFormat/>
    <w:uiPriority w:val="10"/>
    <w:pPr>
      <w:keepNext/>
      <w:keepLines/>
      <w:spacing w:before="480" w:after="120" w:line="240" w:lineRule="auto"/>
    </w:pPr>
    <w:rPr>
      <w:b/>
      <w:bCs/>
      <w:color w:val="1A237E"/>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160" w:type="dxa"/>
        <w:left w:w="200" w:type="dxa"/>
        <w:bottom w:w="160" w:type="dxa"/>
        <w:right w:w="200" w:type="dxa"/>
      </w:tblCellMar>
    </w:tblPr>
    <w:tcPr>
      <w:shd w:val="clear" w:color="auto" w:fill="FFFFFF"/>
      <w:vAlign w:val="center"/>
    </w:tcPr>
    <w:tblStylePr w:type="firstRow">
      <w:rPr>
        <w:rFonts w:ascii="Outfit" w:hAnsi="Outfit" w:eastAsia="Outfit" w:cs="Outfit"/>
        <w:b/>
        <w:bCs/>
        <w:i w:val="0"/>
        <w:iCs w:val="0"/>
        <w:color w:val="1A237E"/>
        <w:sz w:val="24"/>
        <w:szCs w:val="24"/>
      </w:rPr>
      <w:tcPr>
        <w:shd w:val="clear" w:color="auto" w:fill="F8F9FA"/>
        <w:vAlign w:val="center"/>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610</Words>
  <Characters>3629</Characters>
  <Lines>12</Lines>
  <Paragraphs>3</Paragraphs>
  <TotalTime>175</TotalTime>
  <ScaleCrop>false</ScaleCrop>
  <LinksUpToDate>false</LinksUpToDate>
  <CharactersWithSpaces>4204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2026-08-21T05:52:00Z</dcterms:created>
  <dc:creator>JOYLYN</dc:creator>
  <cp:lastModifiedBy>Rudelyn Joy Abanador</cp:lastModifiedBy>
  <dcterms:modified xsi:type="dcterms:W3CDTF">2026-08-25T03:50:37Z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F2BDD22B50E54ED289CA164ACF24E3D3_12</vt:lpwstr>
  </property>
  <property fmtid="{D5CDD505-2E9C-101B-9397-08002B2CF9AE}" pid="4" name="KSOTemplateDocerSaveRecord">
    <vt:lpwstr>eyJoZGlkIjoiYzQ1NTZmY2VmNGY2MzJjMDBhYzIyMDg5OGJmYTI4OGQiLCJ1c2VySWQiOiI4ODEzNjkxOTAzMzg2In0=</vt:lpwstr>
  </property>
</Properties>
</file>