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二次元角色 → 像素 Sprite</w:t>
        <w:br/>
        <w:t>ComfyUI 技术摸底与生产流程说明书</w:t>
      </w:r>
    </w:p>
    <w:p>
      <w:pPr>
        <w:jc w:val="center"/>
      </w:pPr>
      <w:r>
        <w:rPr>
          <w:b/>
        </w:rPr>
        <w:t>版本：V0.1（技术摸底阶段）</w:t>
        <w:br/>
      </w:r>
      <w:r>
        <w:t>目标：验证 AI 像素化、降采样、角色一致性与批量生产的可行性</w:t>
      </w:r>
    </w:p>
    <w:p>
      <w:pPr>
        <w:pStyle w:val="Heading1"/>
      </w:pPr>
      <w:r>
        <w:t>一、项目目标与阶段定位</w:t>
      </w:r>
    </w:p>
    <w:p>
      <w:r>
        <w:t>当前处于技术摸底阶段，不急于设计或训练原创角色。第一阶段的核心问题是：一张常见的二次元游戏立绘，经过 ComfyUI 与像素化处理后，能否稳定得到符合目标风格、具有角色辨识度、可用于游戏的 32×32 / 48×48 / 64×64 Sprite。</w:t>
      </w:r>
    </w:p>
    <w:p>
      <w:r>
        <w:t>本阶段原则：先验证技术路线，再训练角色 LoRA；先建立客观基准，再进入正式资产生产。</w:t>
      </w:r>
    </w:p>
    <w:p>
      <w:pPr>
        <w:pStyle w:val="Heading1"/>
      </w:pPr>
      <w:r>
        <w:t>二、总体生产管线</w:t>
      </w:r>
    </w:p>
    <w:p>
      <w:r>
        <w:t>现成二次元立绘</w:t>
        <w:br/>
        <w:t xml:space="preserve">      ↓</w:t>
        <w:br/>
        <w:t>① 高分辨率参考图</w:t>
        <w:br/>
        <w:t xml:space="preserve">      ↓</w:t>
        <w:br/>
        <w:t>② ComfyUI 图像处理</w:t>
        <w:br/>
        <w:t xml:space="preserve">   Img2Img / IP-Adapter / Pixel LoRA</w:t>
        <w:br/>
        <w:t xml:space="preserve">      ↓</w:t>
        <w:br/>
        <w:t>③ 高分辨率 Pixel Art</w:t>
        <w:br/>
        <w:t xml:space="preserve">   约 512 / 768</w:t>
        <w:br/>
        <w:t xml:space="preserve">      ↓</w:t>
        <w:br/>
        <w:t>④ 像素化与结构整理</w:t>
        <w:br/>
        <w:t xml:space="preserve">      ↓</w:t>
        <w:br/>
        <w:t>⑤ 逐级降采样</w:t>
        <w:br/>
        <w:t xml:space="preserve">   128×128 → 64×64 → 32×32</w:t>
        <w:br/>
        <w:t xml:space="preserve">      ↓</w:t>
        <w:br/>
        <w:t>⑥ 调色板 / 去噪 / 轮廓整理</w:t>
        <w:br/>
        <w:t xml:space="preserve">      ↓</w:t>
        <w:br/>
        <w:t>⑦ 人工审核与少量像素修正</w:t>
        <w:br/>
        <w:t xml:space="preserve">      ↓</w:t>
        <w:br/>
        <w:t>最终 Sprite PNG</w:t>
        <w:br/>
        <w:t xml:space="preserve">      ↓</w:t>
        <w:br/>
        <w:t>Godot</w:t>
      </w:r>
    </w:p>
    <w:p>
      <w:pPr>
        <w:pStyle w:val="Heading1"/>
      </w:pPr>
      <w:r>
        <w:t>三、技术摸底阶段：先不训练原创角色 LoRA</w:t>
      </w:r>
    </w:p>
    <w:p>
      <w:r>
        <w:t>第一轮测试直接使用市面上常见的二次元游戏立绘作为输入。这样可以把“角色设计能力”与“像素化技术能力”分离，避免因为原创角色设计尚未成熟而干扰技术评估。</w:t>
      </w:r>
    </w:p>
    <w:p>
      <w:r>
        <w:t>建议准备 5～10 张具有明显差异的测试立绘：</w:t>
      </w:r>
    </w:p>
    <w:p>
      <w:pPr>
        <w:pStyle w:val="ListBullet"/>
      </w:pPr>
      <w:r>
        <w:t>长发女性：测试头发在降采样后的结构。</w:t>
      </w:r>
    </w:p>
    <w:p>
      <w:pPr>
        <w:pStyle w:val="ListBullet"/>
      </w:pPr>
      <w:r>
        <w:t>短发男性：测试脸部、发型和五官简化。</w:t>
      </w:r>
    </w:p>
    <w:p>
      <w:pPr>
        <w:pStyle w:val="ListBullet"/>
      </w:pPr>
      <w:r>
        <w:t>厚重铠甲角色：测试复杂服装与大面积硬质结构。</w:t>
      </w:r>
    </w:p>
    <w:p>
      <w:pPr>
        <w:pStyle w:val="ListBullet"/>
      </w:pPr>
      <w:r>
        <w:t>法师/长裙角色：测试布料、裙摆和大面积色块。</w:t>
      </w:r>
    </w:p>
    <w:p>
      <w:pPr>
        <w:pStyle w:val="ListBullet"/>
      </w:pPr>
      <w:r>
        <w:t>持长武器角色：测试武器在 32×32 / 64×64 下的辨识度。</w:t>
      </w:r>
    </w:p>
    <w:p>
      <w:pPr>
        <w:pStyle w:val="ListBullet"/>
      </w:pPr>
      <w:r>
        <w:t>带翅膀、尾巴或其他外轮廓元素的角色：测试复杂轮廓。</w:t>
      </w:r>
    </w:p>
    <w:p>
      <w:pPr>
        <w:pStyle w:val="ListBullet"/>
      </w:pPr>
      <w:r>
        <w:t>红黑高对比角色：测试色彩压缩。</w:t>
      </w:r>
    </w:p>
    <w:p>
      <w:pPr>
        <w:pStyle w:val="ListBullet"/>
      </w:pPr>
      <w:r>
        <w:t>浅色、低对比度角色：测试轮廓与明暗分离。</w:t>
      </w:r>
    </w:p>
    <w:p>
      <w:pPr>
        <w:pStyle w:val="ListBullet"/>
      </w:pPr>
      <w:r>
        <w:t>装饰非常复杂的角色：测试细节取舍。</w:t>
      </w:r>
    </w:p>
    <w:p>
      <w:pPr>
        <w:pStyle w:val="ListBullet"/>
      </w:pPr>
      <w:r>
        <w:t>Q 版比例角色：测试不同身体比例。</w:t>
      </w:r>
    </w:p>
    <w:p>
      <w:pPr>
        <w:pStyle w:val="Heading1"/>
      </w:pPr>
      <w:r>
        <w:t>四、第一轮必须做的 A/B/C 三路线测试</w:t>
      </w:r>
    </w:p>
    <w:p>
      <w:r>
        <w:t>同一张立绘至少跑三条路线，以建立基准线。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路线</w:t>
            </w:r>
          </w:p>
        </w:tc>
        <w:tc>
          <w:tcPr>
            <w:tcW w:type="dxa" w:w="3312"/>
          </w:tcPr>
          <w:p>
            <w:r>
              <w:t>流程</w:t>
            </w:r>
          </w:p>
        </w:tc>
        <w:tc>
          <w:tcPr>
            <w:tcW w:type="dxa" w:w="3312"/>
          </w:tcPr>
          <w:p>
            <w:r>
              <w:t>验证目标</w:t>
            </w:r>
          </w:p>
        </w:tc>
      </w:tr>
      <w:tr>
        <w:tc>
          <w:tcPr>
            <w:tcW w:type="dxa" w:w="3312"/>
          </w:tcPr>
          <w:p>
            <w:r>
              <w:t>A：传统缩放基线</w:t>
            </w:r>
          </w:p>
        </w:tc>
        <w:tc>
          <w:tcPr>
            <w:tcW w:type="dxa" w:w="3312"/>
          </w:tcPr>
          <w:p>
            <w:r>
              <w:t>原图 → Nearest Neighbor → 32×32</w:t>
            </w:r>
          </w:p>
        </w:tc>
        <w:tc>
          <w:tcPr>
            <w:tcW w:type="dxa" w:w="3312"/>
          </w:tcPr>
          <w:p>
            <w:r>
              <w:t>回答 AI 像素化是否真的比直接缩放更有价值。</w:t>
            </w:r>
          </w:p>
        </w:tc>
      </w:tr>
      <w:tr>
        <w:tc>
          <w:tcPr>
            <w:tcW w:type="dxa" w:w="3312"/>
          </w:tcPr>
          <w:p>
            <w:r>
              <w:t>B：AI 像素化主路线</w:t>
            </w:r>
          </w:p>
        </w:tc>
        <w:tc>
          <w:tcPr>
            <w:tcW w:type="dxa" w:w="3312"/>
          </w:tcPr>
          <w:p>
            <w:r>
              <w:t>原图 → Pixel Art 处理 → 128 → 64 → 32</w:t>
            </w:r>
          </w:p>
        </w:tc>
        <w:tc>
          <w:tcPr>
            <w:tcW w:type="dxa" w:w="3312"/>
          </w:tcPr>
          <w:p>
            <w:r>
              <w:t>当前主推路线，重点观察像素语言、色块和轮廓。</w:t>
            </w:r>
          </w:p>
        </w:tc>
      </w:tr>
      <w:tr>
        <w:tc>
          <w:tcPr>
            <w:tcW w:type="dxa" w:w="3312"/>
          </w:tcPr>
          <w:p>
            <w:r>
              <w:t>C：AI 重新理解路线</w:t>
            </w:r>
          </w:p>
        </w:tc>
        <w:tc>
          <w:tcPr>
            <w:tcW w:type="dxa" w:w="3312"/>
          </w:tcPr>
          <w:p>
            <w:r>
              <w:t>原图 → IP-Adapter → Pixel Art 模型/LoRA → 32/64</w:t>
            </w:r>
          </w:p>
        </w:tc>
        <w:tc>
          <w:tcPr>
            <w:tcW w:type="dxa" w:w="3312"/>
          </w:tcPr>
          <w:p>
            <w:r>
              <w:t>观察 AI 在保持角色特征的同时重新构造像素画的能力。</w:t>
            </w:r>
          </w:p>
        </w:tc>
      </w:tr>
    </w:tbl>
    <w:p>
      <w:pPr>
        <w:pStyle w:val="Heading1"/>
      </w:pPr>
      <w:r>
        <w:t>五、推荐模型与组件栈（第一版）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类别</w:t>
            </w:r>
          </w:p>
        </w:tc>
        <w:tc>
          <w:tcPr>
            <w:tcW w:type="dxa" w:w="3312"/>
          </w:tcPr>
          <w:p>
            <w:r>
              <w:t>型号/名称</w:t>
            </w:r>
          </w:p>
        </w:tc>
        <w:tc>
          <w:tcPr>
            <w:tcW w:type="dxa" w:w="3312"/>
          </w:tcPr>
          <w:p>
            <w:r>
              <w:t>用途</w:t>
            </w:r>
          </w:p>
        </w:tc>
      </w:tr>
      <w:tr>
        <w:tc>
          <w:tcPr>
            <w:tcW w:type="dxa" w:w="3312"/>
          </w:tcPr>
          <w:p>
            <w:r>
              <w:t>主力角色模型</w:t>
            </w:r>
          </w:p>
        </w:tc>
        <w:tc>
          <w:tcPr>
            <w:tcW w:type="dxa" w:w="3312"/>
          </w:tcPr>
          <w:p>
            <w:r>
              <w:t>Animagine XL 4.0 Opt</w:t>
            </w:r>
          </w:p>
        </w:tc>
        <w:tc>
          <w:tcPr>
            <w:tcW w:type="dxa" w:w="3312"/>
          </w:tcPr>
          <w:p>
            <w:r>
              <w:t>第一阶段高质量二次元角色设计与 Img2Img 基准。</w:t>
            </w:r>
          </w:p>
        </w:tc>
      </w:tr>
      <w:tr>
        <w:tc>
          <w:tcPr>
            <w:tcW w:type="dxa" w:w="3312"/>
          </w:tcPr>
          <w:p>
            <w:r>
              <w:t>备用角色模型</w:t>
            </w:r>
          </w:p>
        </w:tc>
        <w:tc>
          <w:tcPr>
            <w:tcW w:type="dxa" w:w="3312"/>
          </w:tcPr>
          <w:p>
            <w:r>
              <w:t>NoobAI XL 1.1</w:t>
            </w:r>
          </w:p>
        </w:tc>
        <w:tc>
          <w:tcPr>
            <w:tcW w:type="dxa" w:w="3312"/>
          </w:tcPr>
          <w:p>
            <w:r>
              <w:t>第二阶段横向比较，不作为第一套基准工作流。</w:t>
            </w:r>
          </w:p>
        </w:tc>
      </w:tr>
      <w:tr>
        <w:tc>
          <w:tcPr>
            <w:tcW w:type="dxa" w:w="3312"/>
          </w:tcPr>
          <w:p>
            <w:r>
              <w:t>SDXL 基础模型</w:t>
            </w:r>
          </w:p>
        </w:tc>
        <w:tc>
          <w:tcPr>
            <w:tcW w:type="dxa" w:w="3312"/>
          </w:tcPr>
          <w:p>
            <w:r>
              <w:t>Stable Diffusion XL Base 1.0</w:t>
            </w:r>
          </w:p>
        </w:tc>
        <w:tc>
          <w:tcPr>
            <w:tcW w:type="dxa" w:w="3312"/>
          </w:tcPr>
          <w:p>
            <w:r>
              <w:t>用于测试与 Pixel Art XL 更原生的兼容路线。</w:t>
            </w:r>
          </w:p>
        </w:tc>
      </w:tr>
      <w:tr>
        <w:tc>
          <w:tcPr>
            <w:tcW w:type="dxa" w:w="3312"/>
          </w:tcPr>
          <w:p>
            <w:r>
              <w:t>像素风 LoRA</w:t>
            </w:r>
          </w:p>
        </w:tc>
        <w:tc>
          <w:tcPr>
            <w:tcW w:type="dxa" w:w="3312"/>
          </w:tcPr>
          <w:p>
            <w:r>
              <w:t>Pixel Art XL（nerijs/pixel-art-xl）</w:t>
            </w:r>
          </w:p>
        </w:tc>
        <w:tc>
          <w:tcPr>
            <w:tcW w:type="dxa" w:w="3312"/>
          </w:tcPr>
          <w:p>
            <w:r>
              <w:t>负责像素语言转换；第一轮重点测试 0.6～1.2 权重。</w:t>
            </w:r>
          </w:p>
        </w:tc>
      </w:tr>
      <w:tr>
        <w:tc>
          <w:tcPr>
            <w:tcW w:type="dxa" w:w="3312"/>
          </w:tcPr>
          <w:p>
            <w:r>
              <w:t>IP-Adapter</w:t>
            </w:r>
          </w:p>
        </w:tc>
        <w:tc>
          <w:tcPr>
            <w:tcW w:type="dxa" w:w="3312"/>
          </w:tcPr>
          <w:p>
            <w:r>
              <w:t>IP-Adapter Plus SDXL ViT-H</w:t>
            </w:r>
          </w:p>
        </w:tc>
        <w:tc>
          <w:tcPr>
            <w:tcW w:type="dxa" w:w="3312"/>
          </w:tcPr>
          <w:p>
            <w:r>
              <w:t>用于从参考立绘保持角色/视觉特征。</w:t>
            </w:r>
          </w:p>
        </w:tc>
      </w:tr>
      <w:tr>
        <w:tc>
          <w:tcPr>
            <w:tcW w:type="dxa" w:w="3312"/>
          </w:tcPr>
          <w:p>
            <w:r>
              <w:t>图像编码器</w:t>
            </w:r>
          </w:p>
        </w:tc>
        <w:tc>
          <w:tcPr>
            <w:tcW w:type="dxa" w:w="3312"/>
          </w:tcPr>
          <w:p>
            <w:r>
              <w:t>CLIP Vision ViT-H</w:t>
            </w:r>
          </w:p>
        </w:tc>
        <w:tc>
          <w:tcPr>
            <w:tcW w:type="dxa" w:w="3312"/>
          </w:tcPr>
          <w:p>
            <w:r>
              <w:t>配合 SDXL IP-Adapter 使用。</w:t>
            </w:r>
          </w:p>
        </w:tc>
      </w:tr>
      <w:tr>
        <w:tc>
          <w:tcPr>
            <w:tcW w:type="dxa" w:w="3312"/>
          </w:tcPr>
          <w:p>
            <w:r>
              <w:t>动作控制</w:t>
            </w:r>
          </w:p>
        </w:tc>
        <w:tc>
          <w:tcPr>
            <w:tcW w:type="dxa" w:w="3312"/>
          </w:tcPr>
          <w:p>
            <w:r>
              <w:t>SDXL OpenPose ControlNet</w:t>
            </w:r>
          </w:p>
        </w:tc>
        <w:tc>
          <w:tcPr>
            <w:tcW w:type="dxa" w:w="3312"/>
          </w:tcPr>
          <w:p>
            <w:r>
              <w:t>第二阶段用于 Idle / Walk / Attack / Skill 等动作控制。</w:t>
            </w:r>
          </w:p>
        </w:tc>
      </w:tr>
      <w:tr>
        <w:tc>
          <w:tcPr>
            <w:tcW w:type="dxa" w:w="3312"/>
          </w:tcPr>
          <w:p>
            <w:r>
              <w:t>预处理节点</w:t>
            </w:r>
          </w:p>
        </w:tc>
        <w:tc>
          <w:tcPr>
            <w:tcW w:type="dxa" w:w="3312"/>
          </w:tcPr>
          <w:p>
            <w:r>
              <w:t>ComfyUI ControlNet Aux</w:t>
            </w:r>
          </w:p>
        </w:tc>
        <w:tc>
          <w:tcPr>
            <w:tcW w:type="dxa" w:w="3312"/>
          </w:tcPr>
          <w:p>
            <w:r>
              <w:t>生成 OpenPose 等 ControlNet hint。</w:t>
            </w:r>
          </w:p>
        </w:tc>
      </w:tr>
      <w:tr>
        <w:tc>
          <w:tcPr>
            <w:tcW w:type="dxa" w:w="3312"/>
          </w:tcPr>
          <w:p>
            <w:r>
              <w:t>放大/图像处理</w:t>
            </w:r>
          </w:p>
        </w:tc>
        <w:tc>
          <w:tcPr>
            <w:tcW w:type="dxa" w:w="3312"/>
          </w:tcPr>
          <w:p>
            <w:r>
              <w:t>ESRGAN/UltraSharp 类模型</w:t>
            </w:r>
          </w:p>
        </w:tc>
        <w:tc>
          <w:tcPr>
            <w:tcW w:type="dxa" w:w="3312"/>
          </w:tcPr>
          <w:p>
            <w:r>
              <w:t>备用；最终像素降采样不能用普通平滑缩放代替。</w:t>
            </w:r>
          </w:p>
        </w:tc>
      </w:tr>
    </w:tbl>
    <w:p>
      <w:pPr>
        <w:pStyle w:val="Heading1"/>
      </w:pPr>
      <w:r>
        <w:t>六、ComfyUI 环境</w:t>
      </w:r>
    </w:p>
    <w:p>
      <w:r>
        <w:t>第一批 Custom Nodes 控制在最小集合，不建议一开始安装大量节点：</w:t>
      </w:r>
    </w:p>
    <w:p>
      <w:pPr>
        <w:pStyle w:val="ListBullet"/>
      </w:pPr>
      <w:r>
        <w:t>ComfyUI Manager</w:t>
      </w:r>
    </w:p>
    <w:p>
      <w:pPr>
        <w:pStyle w:val="ListBullet"/>
      </w:pPr>
      <w:r>
        <w:t>ComfyUI IPAdapter Plus</w:t>
      </w:r>
    </w:p>
    <w:p>
      <w:pPr>
        <w:pStyle w:val="ListBullet"/>
      </w:pPr>
      <w:r>
        <w:t>comfyui_controlnet_aux</w:t>
      </w:r>
    </w:p>
    <w:p>
      <w:pPr>
        <w:pStyle w:val="ListBullet"/>
      </w:pPr>
      <w:r>
        <w:t>ComfyUI Impact Pack</w:t>
      </w:r>
    </w:p>
    <w:p>
      <w:pPr>
        <w:pStyle w:val="ListBullet"/>
      </w:pPr>
      <w:r>
        <w:t>WAS Node Suite</w:t>
      </w:r>
    </w:p>
    <w:p>
      <w:pPr>
        <w:pStyle w:val="Heading1"/>
      </w:pPr>
      <w:r>
        <w:t>七、推荐模型目录结构</w:t>
      </w:r>
    </w:p>
    <w:p>
      <w:r>
        <w:t>ComfyUI/</w:t>
        <w:br/>
        <w:t>├── models/</w:t>
        <w:br/>
        <w:t>│   ├── checkpoints/</w:t>
        <w:br/>
        <w:t>│   │   ├── animagine-xl-4.0-opt.safetensors</w:t>
        <w:br/>
        <w:t>│   │   ├── noobai-xl-1.1.safetensors</w:t>
        <w:br/>
        <w:t>│   │   └── sd_xl_base_1.0.safetensors</w:t>
        <w:br/>
        <w:t>│   ├── loras/</w:t>
        <w:br/>
        <w:t>│   │   ├── pixel-art-xl.safetensors</w:t>
        <w:br/>
        <w:t>│   │   └── characters/</w:t>
        <w:br/>
        <w:t>│   ├── controlnet/</w:t>
        <w:br/>
        <w:t>│   │   └── controlnet-openpose-sdxl.safetensors</w:t>
        <w:br/>
        <w:t>│   ├── clip_vision/</w:t>
        <w:br/>
        <w:t>│   │   └── ViT-H/</w:t>
        <w:br/>
        <w:t>│   ├── vae/</w:t>
        <w:br/>
        <w:t>│   └── upscale_models/</w:t>
        <w:br/>
        <w:t>└── custom_nodes/</w:t>
        <w:br/>
        <w:t xml:space="preserve">    ├── ComfyUI-Manager</w:t>
        <w:br/>
        <w:t xml:space="preserve">    ├── ComfyUI_IPAdapter_plus</w:t>
        <w:br/>
        <w:t xml:space="preserve">    ├── comfyui_controlnet_aux</w:t>
        <w:br/>
        <w:t xml:space="preserve">    ├── ComfyUI-Impact-Pack</w:t>
        <w:br/>
        <w:t xml:space="preserve">    └── ComfyUI-WAS-Node-Suite</w:t>
      </w:r>
    </w:p>
    <w:p>
      <w:pPr>
        <w:pStyle w:val="Heading1"/>
      </w:pPr>
      <w:r>
        <w:t>八、第一阶段高分辨率基准参数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参数</w:t>
            </w:r>
          </w:p>
        </w:tc>
        <w:tc>
          <w:tcPr>
            <w:tcW w:type="dxa" w:w="4968"/>
          </w:tcPr>
          <w:p>
            <w:r>
              <w:t>第一版基线</w:t>
            </w:r>
          </w:p>
        </w:tc>
      </w:tr>
      <w:tr>
        <w:tc>
          <w:tcPr>
            <w:tcW w:type="dxa" w:w="4968"/>
          </w:tcPr>
          <w:p>
            <w:r>
              <w:t>Checkpoint</w:t>
            </w:r>
          </w:p>
        </w:tc>
        <w:tc>
          <w:tcPr>
            <w:tcW w:type="dxa" w:w="4968"/>
          </w:tcPr>
          <w:p>
            <w:r>
              <w:t>Animagine XL 4.0 Opt</w:t>
            </w:r>
          </w:p>
        </w:tc>
      </w:tr>
      <w:tr>
        <w:tc>
          <w:tcPr>
            <w:tcW w:type="dxa" w:w="4968"/>
          </w:tcPr>
          <w:p>
            <w:r>
              <w:t>Resolution</w:t>
            </w:r>
          </w:p>
        </w:tc>
        <w:tc>
          <w:tcPr>
            <w:tcW w:type="dxa" w:w="4968"/>
          </w:tcPr>
          <w:p>
            <w:r>
              <w:t>1024×1024；也可测试 896×1152 等 SDXL 原生尺寸</w:t>
            </w:r>
          </w:p>
        </w:tc>
      </w:tr>
      <w:tr>
        <w:tc>
          <w:tcPr>
            <w:tcW w:type="dxa" w:w="4968"/>
          </w:tcPr>
          <w:p>
            <w:r>
              <w:t>Sampler</w:t>
            </w:r>
          </w:p>
        </w:tc>
        <w:tc>
          <w:tcPr>
            <w:tcW w:type="dxa" w:w="4968"/>
          </w:tcPr>
          <w:p>
            <w:r>
              <w:t>Euler a</w:t>
            </w:r>
          </w:p>
        </w:tc>
      </w:tr>
      <w:tr>
        <w:tc>
          <w:tcPr>
            <w:tcW w:type="dxa" w:w="4968"/>
          </w:tcPr>
          <w:p>
            <w:r>
              <w:t>Steps</w:t>
            </w:r>
          </w:p>
        </w:tc>
        <w:tc>
          <w:tcPr>
            <w:tcW w:type="dxa" w:w="4968"/>
          </w:tcPr>
          <w:p>
            <w:r>
              <w:t>约 28</w:t>
            </w:r>
          </w:p>
        </w:tc>
      </w:tr>
      <w:tr>
        <w:tc>
          <w:tcPr>
            <w:tcW w:type="dxa" w:w="4968"/>
          </w:tcPr>
          <w:p>
            <w:r>
              <w:t>CFG</w:t>
            </w:r>
          </w:p>
        </w:tc>
        <w:tc>
          <w:tcPr>
            <w:tcW w:type="dxa" w:w="4968"/>
          </w:tcPr>
          <w:p>
            <w:r>
              <w:t>约 5</w:t>
            </w:r>
          </w:p>
        </w:tc>
      </w:tr>
      <w:tr>
        <w:tc>
          <w:tcPr>
            <w:tcW w:type="dxa" w:w="4968"/>
          </w:tcPr>
          <w:p>
            <w:r>
              <w:t>Pixel LoRA</w:t>
            </w:r>
          </w:p>
        </w:tc>
        <w:tc>
          <w:tcPr>
            <w:tcW w:type="dxa" w:w="4968"/>
          </w:tcPr>
          <w:p>
            <w:r>
              <w:t>第一轮不强制；做 Pixel 分支时从 0.6 / 0.8 / 1.0 / 1.2 横向测试</w:t>
            </w:r>
          </w:p>
        </w:tc>
      </w:tr>
      <w:tr>
        <w:tc>
          <w:tcPr>
            <w:tcW w:type="dxa" w:w="4968"/>
          </w:tcPr>
          <w:p>
            <w:r>
              <w:t>Seed</w:t>
            </w:r>
          </w:p>
        </w:tc>
        <w:tc>
          <w:tcPr>
            <w:tcW w:type="dxa" w:w="4968"/>
          </w:tcPr>
          <w:p>
            <w:r>
              <w:t>测试阶段固定；筛选后再随机扩展</w:t>
            </w:r>
          </w:p>
        </w:tc>
      </w:tr>
    </w:tbl>
    <w:p>
      <w:pPr>
        <w:pStyle w:val="Heading1"/>
      </w:pPr>
      <w:r>
        <w:t>九、像素化与降采样流程</w:t>
      </w:r>
    </w:p>
    <w:p>
      <w:r>
        <w:t>核心原则：不要把“像素化”和“降分辨率”混成同一个操作。AI负责重新组织像素语言；Nearest Neighbor 负责严格缩小像素尺寸。</w:t>
      </w:r>
    </w:p>
    <w:p>
      <w:r>
        <w:t>推荐流程：</w:t>
        <w:br/>
        <w:br/>
        <w:t>高分辨率角色</w:t>
        <w:br/>
        <w:t xml:space="preserve">   ↓</w:t>
        <w:br/>
        <w:t>Pixel Art 转换/Refinement</w:t>
        <w:br/>
        <w:t xml:space="preserve">   ↓</w:t>
        <w:br/>
        <w:t>约 128×128</w:t>
        <w:br/>
        <w:t xml:space="preserve">   ↓</w:t>
        <w:br/>
        <w:t>Nearest Neighbor</w:t>
        <w:br/>
        <w:t xml:space="preserve">   ↓</w:t>
        <w:br/>
        <w:t>64×64</w:t>
        <w:br/>
        <w:t xml:space="preserve">   ↓</w:t>
        <w:br/>
        <w:t>Nearest Neighbor</w:t>
        <w:br/>
        <w:t xml:space="preserve">   ↓</w:t>
        <w:br/>
        <w:t>32×32</w:t>
        <w:br/>
        <w:t xml:space="preserve">   ↓</w:t>
        <w:br/>
        <w:t>Palette / 轮廓 / 像素清理</w:t>
        <w:br/>
        <w:t xml:space="preserve">   ↓</w:t>
        <w:br/>
        <w:t>最终 Sprite</w:t>
      </w:r>
    </w:p>
    <w:p>
      <w:r>
        <w:t>严禁在最终像素处理中使用 Bilinear、Bicubic、Lanczos 等平滑缩放方式，否则会破坏清晰的像素块边界。</w:t>
      </w:r>
    </w:p>
    <w:p>
      <w:pPr>
        <w:pStyle w:val="Heading1"/>
      </w:pPr>
      <w:r>
        <w:t>十、为什么要逐级观察 128 / 64 / 32</w:t>
      </w:r>
    </w:p>
    <w:p>
      <w:pPr>
        <w:pStyle w:val="ListBullet"/>
      </w:pPr>
      <w:r>
        <w:t>128×128：观察 AI 是否已经形成合理的像素色块和轮廓。</w:t>
      </w:r>
    </w:p>
    <w:p>
      <w:pPr>
        <w:pStyle w:val="ListBullet"/>
      </w:pPr>
      <w:r>
        <w:t>64×64：观察角色轮廓、服装和武器是否仍然成立。</w:t>
      </w:r>
    </w:p>
    <w:p>
      <w:pPr>
        <w:pStyle w:val="ListBullet"/>
      </w:pPr>
      <w:r>
        <w:t>32×32：最终游戏 Sprite 的识别度考试。</w:t>
      </w:r>
    </w:p>
    <w:p>
      <w:pPr>
        <w:pStyle w:val="ListBullet"/>
      </w:pPr>
      <w:r>
        <w:t>如果 128 已经崩溃，问题来自像素化/母图；如果 128、64 正常而 32 崩溃，则需要重新设计简化策略。</w:t>
      </w:r>
    </w:p>
    <w:p>
      <w:pPr>
        <w:pStyle w:val="Heading1"/>
      </w:pPr>
      <w:r>
        <w:t>十一、32 / 48 / 64 三档实际游戏测试</w:t>
      </w:r>
    </w:p>
    <w:p>
      <w:r>
        <w:t>不要只在透明背景的大图中判断效果。将同一个角色同时输出 32×32、48×48、64×64，放入实际游戏背景、UI和角色比例中进行观察。最终规格应由游戏画面中的视觉可读性决定，而不是单独看 Sprite 图片。</w:t>
      </w:r>
    </w:p>
    <w:p>
      <w:pPr>
        <w:pStyle w:val="Heading1"/>
      </w:pPr>
      <w:r>
        <w:t>十二、角色一致性：第二阶段才引入 Character LoRA</w:t>
      </w:r>
    </w:p>
    <w:p>
      <w:r>
        <w:t>当技术路线已经证明可行，再为原创角色建立 Character LoRA。它的职责是“这个角色是谁”，而 Pixel Art LoRA 的职责是“用什么像素语言画”。两者不要混为一谈。</w:t>
      </w:r>
    </w:p>
    <w:p>
      <w:r>
        <w:t>建议第一版 Character LoRA 数据集：20～60 张高质量、角色特征稳定的图；训练分辨率以 1024 为主。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参数</w:t>
            </w:r>
          </w:p>
        </w:tc>
        <w:tc>
          <w:tcPr>
            <w:tcW w:type="dxa" w:w="4968"/>
          </w:tcPr>
          <w:p>
            <w:r>
              <w:t>初始实验值</w:t>
            </w:r>
          </w:p>
        </w:tc>
      </w:tr>
      <w:tr>
        <w:tc>
          <w:tcPr>
            <w:tcW w:type="dxa" w:w="4968"/>
          </w:tcPr>
          <w:p>
            <w:r>
              <w:t>Base</w:t>
            </w:r>
          </w:p>
        </w:tc>
        <w:tc>
          <w:tcPr>
            <w:tcW w:type="dxa" w:w="4968"/>
          </w:tcPr>
          <w:p>
            <w:r>
              <w:t>Animagine XL 4.0 Opt</w:t>
            </w:r>
          </w:p>
        </w:tc>
      </w:tr>
      <w:tr>
        <w:tc>
          <w:tcPr>
            <w:tcW w:type="dxa" w:w="4968"/>
          </w:tcPr>
          <w:p>
            <w:r>
              <w:t>Resolution</w:t>
            </w:r>
          </w:p>
        </w:tc>
        <w:tc>
          <w:tcPr>
            <w:tcW w:type="dxa" w:w="4968"/>
          </w:tcPr>
          <w:p>
            <w:r>
              <w:t>1024</w:t>
            </w:r>
          </w:p>
        </w:tc>
      </w:tr>
      <w:tr>
        <w:tc>
          <w:tcPr>
            <w:tcW w:type="dxa" w:w="4968"/>
          </w:tcPr>
          <w:p>
            <w:r>
              <w:t>Batch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Rank</w:t>
            </w:r>
          </w:p>
        </w:tc>
        <w:tc>
          <w:tcPr>
            <w:tcW w:type="dxa" w:w="4968"/>
          </w:tcPr>
          <w:p>
            <w:r>
              <w:t>32</w:t>
            </w:r>
          </w:p>
        </w:tc>
      </w:tr>
      <w:tr>
        <w:tc>
          <w:tcPr>
            <w:tcW w:type="dxa" w:w="4968"/>
          </w:tcPr>
          <w:p>
            <w:r>
              <w:t>Alpha</w:t>
            </w:r>
          </w:p>
        </w:tc>
        <w:tc>
          <w:tcPr>
            <w:tcW w:type="dxa" w:w="4968"/>
          </w:tcPr>
          <w:p>
            <w:r>
              <w:t>16 或 32</w:t>
            </w:r>
          </w:p>
        </w:tc>
      </w:tr>
      <w:tr>
        <w:tc>
          <w:tcPr>
            <w:tcW w:type="dxa" w:w="4968"/>
          </w:tcPr>
          <w:p>
            <w:r>
              <w:t>UNet LR</w:t>
            </w:r>
          </w:p>
        </w:tc>
        <w:tc>
          <w:tcPr>
            <w:tcW w:type="dxa" w:w="4968"/>
          </w:tcPr>
          <w:p>
            <w:r>
              <w:t>约 1e-4，作为实验基线</w:t>
            </w:r>
          </w:p>
        </w:tc>
      </w:tr>
      <w:tr>
        <w:tc>
          <w:tcPr>
            <w:tcW w:type="dxa" w:w="4968"/>
          </w:tcPr>
          <w:p>
            <w:r>
              <w:t>Text Encoder LR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Epoch</w:t>
            </w:r>
          </w:p>
        </w:tc>
        <w:tc>
          <w:tcPr>
            <w:tcW w:type="dxa" w:w="4968"/>
          </w:tcPr>
          <w:p>
            <w:r>
              <w:t>约 8～12，需根据过拟合情况调整</w:t>
            </w:r>
          </w:p>
        </w:tc>
      </w:tr>
      <w:tr>
        <w:tc>
          <w:tcPr>
            <w:tcW w:type="dxa" w:w="4968"/>
          </w:tcPr>
          <w:p>
            <w:r>
              <w:t>Gradient checkpoint</w:t>
            </w:r>
          </w:p>
        </w:tc>
        <w:tc>
          <w:tcPr>
            <w:tcW w:type="dxa" w:w="4968"/>
          </w:tcPr>
          <w:p>
            <w:r>
              <w:t>开启</w:t>
            </w:r>
          </w:p>
        </w:tc>
      </w:tr>
      <w:tr>
        <w:tc>
          <w:tcPr>
            <w:tcW w:type="dxa" w:w="4968"/>
          </w:tcPr>
          <w:p>
            <w:r>
              <w:t>Cache Latents</w:t>
            </w:r>
          </w:p>
        </w:tc>
        <w:tc>
          <w:tcPr>
            <w:tcW w:type="dxa" w:w="4968"/>
          </w:tcPr>
          <w:p>
            <w:r>
              <w:t>开启</w:t>
            </w:r>
          </w:p>
        </w:tc>
      </w:tr>
      <w:tr>
        <w:tc>
          <w:tcPr>
            <w:tcW w:type="dxa" w:w="4968"/>
          </w:tcPr>
          <w:p>
            <w:r>
              <w:t>Cache Text Encoder</w:t>
            </w:r>
          </w:p>
        </w:tc>
        <w:tc>
          <w:tcPr>
            <w:tcW w:type="dxa" w:w="4968"/>
          </w:tcPr>
          <w:p>
            <w:r>
              <w:t>开启</w:t>
            </w:r>
          </w:p>
        </w:tc>
      </w:tr>
      <w:tr>
        <w:tc>
          <w:tcPr>
            <w:tcW w:type="dxa" w:w="4968"/>
          </w:tcPr>
          <w:p>
            <w:r>
              <w:t>Bucket</w:t>
            </w:r>
          </w:p>
        </w:tc>
        <w:tc>
          <w:tcPr>
            <w:tcW w:type="dxa" w:w="4968"/>
          </w:tcPr>
          <w:p>
            <w:r>
              <w:t>开启</w:t>
            </w:r>
          </w:p>
        </w:tc>
      </w:tr>
      <w:tr>
        <w:tc>
          <w:tcPr>
            <w:tcW w:type="dxa" w:w="4968"/>
          </w:tcPr>
          <w:p>
            <w:r>
              <w:t>Precision</w:t>
            </w:r>
          </w:p>
        </w:tc>
        <w:tc>
          <w:tcPr>
            <w:tcW w:type="dxa" w:w="4968"/>
          </w:tcPr>
          <w:p>
            <w:r>
              <w:t>FP16</w:t>
            </w:r>
          </w:p>
        </w:tc>
      </w:tr>
    </w:tbl>
    <w:p>
      <w:r>
        <w:t>注意：以上是第一轮实验基线，不是通用最优配方。最终参数必须根据数据集、过拟合程度和实际生成结果迭代。</w:t>
      </w:r>
    </w:p>
    <w:p>
      <w:pPr>
        <w:pStyle w:val="Heading1"/>
      </w:pPr>
      <w:r>
        <w:t>十三、动作生产路线</w:t>
      </w:r>
    </w:p>
    <w:p>
      <w:r>
        <w:t>Character Master</w:t>
        <w:br/>
        <w:t xml:space="preserve">      ↓</w:t>
        <w:br/>
        <w:t>Character LoRA / IP-Adapter</w:t>
        <w:br/>
        <w:t xml:space="preserve">      +</w:t>
        <w:br/>
        <w:t>ControlNet OpenPose</w:t>
        <w:br/>
        <w:t xml:space="preserve">      ↓</w:t>
        <w:br/>
        <w:t>Idle / Walk / Attack / Hit / Death / Skill</w:t>
        <w:br/>
        <w:t xml:space="preserve">      ↓</w:t>
        <w:br/>
        <w:t>高分辨率角色</w:t>
        <w:br/>
        <w:t xml:space="preserve">      ↓</w:t>
        <w:br/>
        <w:t>Pixel Art 转换</w:t>
        <w:br/>
        <w:t xml:space="preserve">      ↓</w:t>
        <w:br/>
        <w:t>128 → 64 → 32</w:t>
        <w:br/>
        <w:t xml:space="preserve">      ↓</w:t>
        <w:br/>
        <w:t>最终 Sprite</w:t>
      </w:r>
    </w:p>
    <w:p>
      <w:r>
        <w:t>ControlNet负责动作/姿势约束，IP-Adapter负责参考图特征，Character LoRA负责角色身份。将三个职责分开，可以显著降低不同动作之间“变成不同角色”的风险。</w:t>
      </w:r>
    </w:p>
    <w:p>
      <w:pPr>
        <w:pStyle w:val="Heading1"/>
      </w:pPr>
      <w:r>
        <w:t>十四、四级验收标准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关卡</w:t>
            </w:r>
          </w:p>
        </w:tc>
        <w:tc>
          <w:tcPr>
            <w:tcW w:type="dxa" w:w="3312"/>
          </w:tcPr>
          <w:p>
            <w:r>
              <w:t>测试内容</w:t>
            </w:r>
          </w:p>
        </w:tc>
        <w:tc>
          <w:tcPr>
            <w:tcW w:type="dxa" w:w="3312"/>
          </w:tcPr>
          <w:p>
            <w:r>
              <w:t>通过标准</w:t>
            </w:r>
          </w:p>
        </w:tc>
      </w:tr>
      <w:tr>
        <w:tc>
          <w:tcPr>
            <w:tcW w:type="dxa" w:w="3312"/>
          </w:tcPr>
          <w:p>
            <w:r>
              <w:t>Level 1：Pixel 化</w:t>
            </w:r>
          </w:p>
        </w:tc>
        <w:tc>
          <w:tcPr>
            <w:tcW w:type="dxa" w:w="3312"/>
          </w:tcPr>
          <w:p>
            <w:r>
              <w:t>普通二次元立绘 → 像素风</w:t>
            </w:r>
          </w:p>
        </w:tc>
        <w:tc>
          <w:tcPr>
            <w:tcW w:type="dxa" w:w="3312"/>
          </w:tcPr>
          <w:p>
            <w:r>
              <w:t>像素语言自然、没有明显糊边或随机噪点。</w:t>
            </w:r>
          </w:p>
        </w:tc>
      </w:tr>
      <w:tr>
        <w:tc>
          <w:tcPr>
            <w:tcW w:type="dxa" w:w="3312"/>
          </w:tcPr>
          <w:p>
            <w:r>
              <w:t>Level 2：降采样</w:t>
            </w:r>
          </w:p>
        </w:tc>
        <w:tc>
          <w:tcPr>
            <w:tcW w:type="dxa" w:w="3312"/>
          </w:tcPr>
          <w:p>
            <w:r>
              <w:t>128 → 64 → 32</w:t>
            </w:r>
          </w:p>
        </w:tc>
        <w:tc>
          <w:tcPr>
            <w:tcW w:type="dxa" w:w="3312"/>
          </w:tcPr>
          <w:p>
            <w:r>
              <w:t>轮廓、服装、武器在目标尺寸仍具有可读性。</w:t>
            </w:r>
          </w:p>
        </w:tc>
      </w:tr>
      <w:tr>
        <w:tc>
          <w:tcPr>
            <w:tcW w:type="dxa" w:w="3312"/>
          </w:tcPr>
          <w:p>
            <w:r>
              <w:t>Level 3：一致性</w:t>
            </w:r>
          </w:p>
        </w:tc>
        <w:tc>
          <w:tcPr>
            <w:tcW w:type="dxa" w:w="3312"/>
          </w:tcPr>
          <w:p>
            <w:r>
              <w:t>同一角色 → Idle / Attack / Skill</w:t>
            </w:r>
          </w:p>
        </w:tc>
        <w:tc>
          <w:tcPr>
            <w:tcW w:type="dxa" w:w="3312"/>
          </w:tcPr>
          <w:p>
            <w:r>
              <w:t>不同动作仍然能明确判断为同一角色。</w:t>
            </w:r>
          </w:p>
        </w:tc>
      </w:tr>
      <w:tr>
        <w:tc>
          <w:tcPr>
            <w:tcW w:type="dxa" w:w="3312"/>
          </w:tcPr>
          <w:p>
            <w:r>
              <w:t>Level 4：生产化</w:t>
            </w:r>
          </w:p>
        </w:tc>
        <w:tc>
          <w:tcPr>
            <w:tcW w:type="dxa" w:w="3312"/>
          </w:tcPr>
          <w:p>
            <w:r>
              <w:t>10角色 × 多动作 × 32/64</w:t>
            </w:r>
          </w:p>
        </w:tc>
        <w:tc>
          <w:tcPr>
            <w:tcW w:type="dxa" w:w="3312"/>
          </w:tcPr>
          <w:p>
            <w:r>
              <w:t>能够批量、稳定地产出，而不是依赖偶然出现的一张神图。</w:t>
            </w:r>
          </w:p>
        </w:tc>
      </w:tr>
    </w:tbl>
    <w:p>
      <w:pPr>
        <w:pStyle w:val="Heading1"/>
      </w:pPr>
      <w:r>
        <w:t>十五、测试结果记录表（建议）</w:t>
      </w:r>
    </w:p>
    <w:p>
      <w:r>
        <w:t>每次实验记录模型、LoRA权重、采样器、Steps、CFG、Seed、输入图编号以及 128/64/32 的评分，避免凭感觉反复试错。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t>样本</w:t>
            </w:r>
          </w:p>
        </w:tc>
        <w:tc>
          <w:tcPr>
            <w:tcW w:type="dxa" w:w="903"/>
          </w:tcPr>
          <w:p>
            <w:r>
              <w:t>模型</w:t>
            </w:r>
          </w:p>
        </w:tc>
        <w:tc>
          <w:tcPr>
            <w:tcW w:type="dxa" w:w="903"/>
          </w:tcPr>
          <w:p>
            <w:r>
              <w:t>Pixel LoRA</w:t>
            </w:r>
          </w:p>
        </w:tc>
        <w:tc>
          <w:tcPr>
            <w:tcW w:type="dxa" w:w="903"/>
          </w:tcPr>
          <w:p>
            <w:r>
              <w:t>Seed</w:t>
            </w:r>
          </w:p>
        </w:tc>
        <w:tc>
          <w:tcPr>
            <w:tcW w:type="dxa" w:w="903"/>
          </w:tcPr>
          <w:p>
            <w:r>
              <w:t>512/768质量</w:t>
            </w:r>
          </w:p>
        </w:tc>
        <w:tc>
          <w:tcPr>
            <w:tcW w:type="dxa" w:w="903"/>
          </w:tcPr>
          <w:p>
            <w:r>
              <w:t>128</w:t>
            </w:r>
          </w:p>
        </w:tc>
        <w:tc>
          <w:tcPr>
            <w:tcW w:type="dxa" w:w="903"/>
          </w:tcPr>
          <w:p>
            <w:r>
              <w:t>64</w:t>
            </w:r>
          </w:p>
        </w:tc>
        <w:tc>
          <w:tcPr>
            <w:tcW w:type="dxa" w:w="903"/>
          </w:tcPr>
          <w:p>
            <w:r>
              <w:t>32</w:t>
            </w:r>
          </w:p>
        </w:tc>
        <w:tc>
          <w:tcPr>
            <w:tcW w:type="dxa" w:w="903"/>
          </w:tcPr>
          <w:p>
            <w:r>
              <w:t>轮廓</w:t>
            </w:r>
          </w:p>
        </w:tc>
        <w:tc>
          <w:tcPr>
            <w:tcW w:type="dxa" w:w="903"/>
          </w:tcPr>
          <w:p>
            <w:r>
              <w:t>角色辨识度</w:t>
            </w:r>
          </w:p>
        </w:tc>
        <w:tc>
          <w:tcPr>
            <w:tcW w:type="dxa" w:w="903"/>
          </w:tcPr>
          <w:p>
            <w:r>
              <w:t>备注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</w:tbl>
    <w:p>
      <w:pPr>
        <w:pStyle w:val="Heading1"/>
      </w:pPr>
      <w:r>
        <w:t>十六、后续正式生产的文件结构</w:t>
      </w:r>
    </w:p>
    <w:p>
      <w:r>
        <w:t>Game/</w:t>
        <w:br/>
        <w:t>├── Art/</w:t>
        <w:br/>
        <w:t>│   ├── Characters/</w:t>
        <w:br/>
        <w:t>│   │   ├── Heroine/</w:t>
        <w:br/>
        <w:t>│   │   │   ├── References/</w:t>
        <w:br/>
        <w:t>│   │   │   ├── Master/</w:t>
        <w:br/>
        <w:t>│   │   │   ├── HighRes/</w:t>
        <w:br/>
        <w:t>│   │   │   ├── Pixel_128/</w:t>
        <w:br/>
        <w:t>│   │   │   ├── Pixel_64/</w:t>
        <w:br/>
        <w:t>│   │   │   ├── Pixel_32/</w:t>
        <w:br/>
        <w:t>│   │   │   └── Final/</w:t>
        <w:br/>
        <w:t>│   ├── Enemies/</w:t>
        <w:br/>
        <w:t>│   ├── Bosses/</w:t>
        <w:br/>
        <w:t>│   ├── Effects/</w:t>
        <w:br/>
        <w:t>│   └── UI/</w:t>
        <w:br/>
        <w:t>├── AI/</w:t>
        <w:br/>
        <w:t>│   ├── Workflows/</w:t>
        <w:br/>
        <w:t>│   ├── LoRA/</w:t>
        <w:br/>
        <w:t>│   ├── Checkpoints/</w:t>
        <w:br/>
        <w:t>│   └── Prompts/</w:t>
        <w:br/>
        <w:t>└── Godot/</w:t>
      </w:r>
    </w:p>
    <w:p>
      <w:pPr>
        <w:pStyle w:val="Heading1"/>
      </w:pPr>
      <w:r>
        <w:t>十七、第一轮执行顺序</w:t>
      </w:r>
    </w:p>
    <w:p>
      <w:r>
        <w:t>1. 部署 4090 云服务器与 ComfyUI。</w:t>
      </w:r>
    </w:p>
    <w:p>
      <w:r>
        <w:t>2. 只安装第一批必要 Custom Nodes。</w:t>
      </w:r>
    </w:p>
    <w:p>
      <w:r>
        <w:t>3. 下载 Animagine XL 4.0 Opt、SDXL Base 1.0、Pixel Art XL、IP-Adapter Plus SDXL ViT-H、ViT-H、SDXL OpenPose ControlNet。</w:t>
      </w:r>
    </w:p>
    <w:p>
      <w:r>
        <w:t>4. 准备 5～10 张不同类型的测试立绘。</w:t>
      </w:r>
    </w:p>
    <w:p>
      <w:r>
        <w:t>5. 先跑高分辨率基准图，确认 ComfyUI 环境正常。</w:t>
      </w:r>
    </w:p>
    <w:p>
      <w:r>
        <w:t>6. 对同一批输入执行 A/B/C 三路线：直接缩放、AI 像素化、IP-Adapter + Pixel Art。</w:t>
      </w:r>
    </w:p>
    <w:p>
      <w:r>
        <w:t>7. 分别输出 128 / 64 / 32。</w:t>
      </w:r>
    </w:p>
    <w:p>
      <w:r>
        <w:t>8. 把结果放入实际游戏背景进行视觉审核。</w:t>
      </w:r>
    </w:p>
    <w:p>
      <w:r>
        <w:t>9. 根据结果决定最终 Pixel Art 路线和目标尺寸。</w:t>
      </w:r>
    </w:p>
    <w:p>
      <w:r>
        <w:t>10. 技术路线通过后，再开始原创角色 Character LoRA。</w:t>
      </w:r>
    </w:p>
    <w:p>
      <w:pPr>
        <w:pStyle w:val="Heading1"/>
      </w:pPr>
      <w:r>
        <w:t>十八、核心结论</w:t>
      </w:r>
    </w:p>
    <w:p>
      <w:r>
        <w:t>本项目当前最重要的不是寻找“最强模型”，而是建立一个可测量、可复现、可批量化的像素资产生产链。第一阶段应尽可能减少变量：使用现成立绘、固定测试集、少量模型和节点，通过 A/B/C 对照确认“AI 像素化是否值得”。</w:t>
      </w:r>
    </w:p>
    <w:p>
      <w:r>
        <w:t>只有当 32×32 / 48×48 / 64×64 的实际游戏效果达到要求后，才进入 Character LoRA、动作控制和批量生产阶段。届时再把参数、工作流和验收标准固化为游戏项目的正式 AI 美术生产 SOP。</w:t>
      </w:r>
    </w:p>
    <w:p>
      <w:r>
        <w:br/>
        <w:t>备注：模型、节点和训练工具版本会持续变化。正式部署时应再次核对对应模型卡、ComfyUI节点兼容性及当前版本参数。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