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BUKU PANDUAN PENILAIAN KINERJA (KPI) 2026 - FASE TRANSISI (Revisi Pipeline &amp; Reward)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jc w:val="both"/>
        <w:rPr>
          <w:b w:val="1"/>
          <w:bCs w:val="1"/>
        </w:rPr>
      </w:pPr>
      <w:r w:rsidDel="00000000" w:rsidR="00000000" w:rsidRPr="00000000">
        <w:rPr>
          <w:b w:val="1"/>
          <w:bCs w:val="1"/>
          <w:rtl w:val="0"/>
        </w:rPr>
        <w:t xml:space="preserve">Dokumen Resmi Evaluasi Kinerja Organisasi (Penyesuaian Fase Restrukturisasi)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Solution Integration Profesional (V.01 MVP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b w:val="1"/>
          <w:bCs w:val="1"/>
          <w:rtl w:val="0"/>
        </w:rPr>
        <w:t xml:space="preserve">Disiapkan Untuk:</w:t>
      </w:r>
      <w:r w:rsidDel="00000000" w:rsidR="00000000" w:rsidRPr="00000000">
        <w:rPr>
          <w:rtl w:val="0"/>
        </w:rPr>
        <w:t xml:space="preserve"> Dewan Komisaris (Bpk. Slamet &amp; Bpk. Willung)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b w:val="1"/>
          <w:bCs w:val="1"/>
          <w:rtl w:val="0"/>
        </w:rPr>
        <w:t xml:space="preserve">Disusun Oleh:</w:t>
      </w:r>
      <w:r w:rsidDel="00000000" w:rsidR="00000000" w:rsidRPr="00000000">
        <w:rPr>
          <w:rtl w:val="0"/>
        </w:rPr>
        <w:t xml:space="preserve"> Manajemen Eksekutif (Fokus: Penataan Ulang Kedisiplinan &amp; Sistem)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BAB I. PENDAHULUAN &amp; SKALA PENILAIAN MASA TRANSISI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Dokumen ini disusun sebagai panduan resmi untuk mengukur kinerja seluruh SDM di dalam struktur organisasi Solution Integration Profesional (MVP 2026). Mengingat tahun ini adalah </w:t>
      </w:r>
      <w:r w:rsidDel="00000000" w:rsidR="00000000" w:rsidRPr="00000000">
        <w:rPr>
          <w:b w:val="1"/>
          <w:bCs w:val="1"/>
          <w:rtl w:val="0"/>
        </w:rPr>
        <w:t xml:space="preserve">Fase Penataan Kembali (Restrukturisasi)</w:t>
      </w:r>
      <w:r w:rsidDel="00000000" w:rsidR="00000000" w:rsidRPr="00000000">
        <w:rPr>
          <w:rtl w:val="0"/>
        </w:rPr>
        <w:t xml:space="preserve">, target KPI tidak dirancang untuk menuntut kesempurnaan mutlak (100% Zero Error), melainkan difokuskan pada pembentukan kebiasaan (habit), kedisiplinan pelaporan, dan perbaikan alur kerja secara bertahap.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Skala Penilaian Kinerja (Edisi Transisi):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Skala 1 (Sangat Kurang):</w:t>
      </w:r>
      <w:r w:rsidDel="00000000" w:rsidR="00000000" w:rsidRPr="00000000">
        <w:rPr>
          <w:rtl w:val="0"/>
        </w:rPr>
        <w:t xml:space="preserve"> Pencapaian di bawah 50% dari target.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Skala 2 (Kurang):</w:t>
      </w:r>
      <w:r w:rsidDel="00000000" w:rsidR="00000000" w:rsidRPr="00000000">
        <w:rPr>
          <w:rtl w:val="0"/>
        </w:rPr>
        <w:t xml:space="preserve"> Pencapaian 50% - 69% dari target. Perlu pembinaan.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Skala 3 (Memenuhi Harapan):</w:t>
      </w:r>
      <w:r w:rsidDel="00000000" w:rsidR="00000000" w:rsidRPr="00000000">
        <w:rPr>
          <w:rtl w:val="0"/>
        </w:rPr>
        <w:t xml:space="preserve"> Pencapaian 70% - 85% dari target. (Batas aman dalam fase transisi).</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Skala 4 (Baik):</w:t>
      </w:r>
      <w:r w:rsidDel="00000000" w:rsidR="00000000" w:rsidRPr="00000000">
        <w:rPr>
          <w:rtl w:val="0"/>
        </w:rPr>
        <w:t xml:space="preserve"> Pencapaian 86% - 100% dari target. Menunjukkan dedikasi tinggi.</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Skala 5 (Sangat Baik):</w:t>
      </w:r>
      <w:r w:rsidDel="00000000" w:rsidR="00000000" w:rsidRPr="00000000">
        <w:rPr>
          <w:rtl w:val="0"/>
        </w:rPr>
        <w:t xml:space="preserve"> Pencapaian di atas 100% dari target. Kinerja luar biasa.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BAB II. KPI LEVEL EKSEKUTIF DAN MANAJERIAL</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Direktur (William Hosea Eko Putro)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343a40" w:val="clear"/>
            <w:tcMar>
              <w:top w:w="120.0" w:type="dxa"/>
              <w:left w:w="120.0" w:type="dxa"/>
              <w:bottom w:w="120.0" w:type="dxa"/>
              <w:right w:w="120.0" w:type="dxa"/>
            </w:tcMar>
            <w:vAlign w:val="top"/>
          </w:tcPr>
          <w:p>
            <w:pPr>
              <w:spacing w:before="40" w:after="40"/>
            </w:pPr>
            <w:r/>
            <w:r>
              <w:rPr>
                <w:rFonts w:ascii="Calibri" w:hAnsi="Calibri"/>
                <w:b/>
                <w:sz w:val="20"/>
              </w:rPr>
              <w:t>Indikator Kinerja (KPI)</w:t>
            </w:r>
          </w:p>
        </w:tc>
        <w:tc>
          <w:tcPr>
            <w:shd w:fill="343a40" w:val="clear"/>
            <w:tcMar>
              <w:top w:w="120.0" w:type="dxa"/>
              <w:left w:w="120.0" w:type="dxa"/>
              <w:bottom w:w="120.0" w:type="dxa"/>
              <w:right w:w="120.0" w:type="dxa"/>
            </w:tcMar>
            <w:vAlign w:val="top"/>
          </w:tcPr>
          <w:p>
            <w:pPr>
              <w:spacing w:before="40" w:after="40"/>
            </w:pPr>
            <w:r/>
            <w:r>
              <w:rPr>
                <w:rFonts w:ascii="Calibri" w:hAnsi="Calibri"/>
                <w:b/>
                <w:sz w:val="20"/>
              </w:rPr>
              <w:t>Deskripsi &amp; Formula</w:t>
            </w:r>
          </w:p>
        </w:tc>
        <w:tc>
          <w:tcPr>
            <w:shd w:fill="343a40" w:val="clear"/>
            <w:tcMar>
              <w:top w:w="120.0" w:type="dxa"/>
              <w:left w:w="120.0" w:type="dxa"/>
              <w:bottom w:w="120.0" w:type="dxa"/>
              <w:right w:w="120.0" w:type="dxa"/>
            </w:tcMar>
            <w:vAlign w:val="top"/>
          </w:tcPr>
          <w:p>
            <w:pPr>
              <w:spacing w:before="40" w:after="40"/>
            </w:pPr>
            <w:r/>
            <w:r>
              <w:rPr>
                <w:rFonts w:ascii="Calibri" w:hAnsi="Calibri"/>
                <w:b/>
                <w:sz w:val="20"/>
              </w:rPr>
              <w:t>Target Standard (Transisi)</w:t>
            </w:r>
          </w:p>
        </w:tc>
        <w:tc>
          <w:tcPr>
            <w:shd w:fill="343a40" w:val="clear"/>
            <w:tcMar>
              <w:top w:w="120.0" w:type="dxa"/>
              <w:left w:w="120.0" w:type="dxa"/>
              <w:bottom w:w="120.0" w:type="dxa"/>
              <w:right w:w="120.0" w:type="dxa"/>
            </w:tcMar>
            <w:vAlign w:val="top"/>
          </w:tcPr>
          <w:p>
            <w:pPr>
              <w:spacing w:before="40" w:after="40"/>
            </w:pPr>
            <w:r/>
            <w:r>
              <w:rPr>
                <w:rFonts w:ascii="Calibri" w:hAnsi="Calibri"/>
                <w:b/>
                <w:sz w:val="20"/>
              </w:rPr>
              <w:t>Bobot</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Pertumbuhan Pendapatan</w:t>
              <w:br/>
              <w:t>(Revenue Growth)</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(Pendapatan Tahun Ini - Pendapatan Tahun Lalu) / Pendapatan Tahun Lalu x 100%</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Sesuai RUPS</w:t>
              <w:br/>
              <w:t>(Toleransi 80% dari target ideal)</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40%</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Profitabilitas</w:t>
              <w:br/>
              <w:t>(Net Profit Margin)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(Laba Bersih / Total Pendapatan) x 100%</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Tercapai target margin minimal</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20%</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Efisiensi Biaya Operasional</w:t>
              <w:br/>
              <w:t>(Opex Ratio)</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(Total Biaya Operasional / Total Pendapatan) x 100%</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Batas Opex dengan toleransi deviasi 5%</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20%</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Pipeline Direktur</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Direktur memiliki pipeline AKTIF sendiri yang dihasilkan atas network yang dibangun untuk membantu pertumbuhan revenue perusahaan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Memiliki minimal 5 pipeline dengan kontribusi minimal 10% dari total revenue perusahaan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10%</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Penyelesaian Formasi Struktur</w:t>
              <w:br/>
              <w:t>(SDM)</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Mengisi peran kosong dan memastikan seluruh tim memahami struktur MVP 2026.</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Struktur terisi &amp; beroperasi 90%</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10%</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Head Accounting &amp; Finance (Wina) dan Head Finance (Mei)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7a2b8" w:val="clear"/>
            <w:tcMar>
              <w:top w:w="120.0" w:type="dxa"/>
              <w:left w:w="120.0" w:type="dxa"/>
              <w:bottom w:w="120.0" w:type="dxa"/>
              <w:right w:w="120.0" w:type="dxa"/>
            </w:tcMar>
            <w:vAlign w:val="top"/>
          </w:tcPr>
          <w:p>
            <w:pPr>
              <w:spacing w:before="40" w:after="40"/>
            </w:pPr>
            <w:r/>
            <w:r>
              <w:rPr>
                <w:rFonts w:ascii="Calibri" w:hAnsi="Calibri"/>
                <w:b/>
                <w:sz w:val="20"/>
              </w:rPr>
              <w:t>Indikator Kinerja (KPI)</w:t>
            </w:r>
          </w:p>
        </w:tc>
        <w:tc>
          <w:tcPr>
            <w:shd w:fill="17a2b8" w:val="clear"/>
            <w:tcMar>
              <w:top w:w="120.0" w:type="dxa"/>
              <w:left w:w="120.0" w:type="dxa"/>
              <w:bottom w:w="120.0" w:type="dxa"/>
              <w:right w:w="120.0" w:type="dxa"/>
            </w:tcMar>
            <w:vAlign w:val="top"/>
          </w:tcPr>
          <w:p>
            <w:pPr>
              <w:spacing w:before="40" w:after="40"/>
            </w:pPr>
            <w:r/>
            <w:r>
              <w:rPr>
                <w:rFonts w:ascii="Calibri" w:hAnsi="Calibri"/>
                <w:b/>
                <w:sz w:val="20"/>
              </w:rPr>
              <w:t>Deskripsi &amp; Formula</w:t>
            </w:r>
          </w:p>
        </w:tc>
        <w:tc>
          <w:tcPr>
            <w:shd w:fill="17a2b8" w:val="clear"/>
            <w:tcMar>
              <w:top w:w="120.0" w:type="dxa"/>
              <w:left w:w="120.0" w:type="dxa"/>
              <w:bottom w:w="120.0" w:type="dxa"/>
              <w:right w:w="120.0" w:type="dxa"/>
            </w:tcMar>
            <w:vAlign w:val="top"/>
          </w:tcPr>
          <w:p>
            <w:pPr>
              <w:spacing w:before="40" w:after="40"/>
            </w:pPr>
            <w:r/>
            <w:r>
              <w:rPr>
                <w:rFonts w:ascii="Calibri" w:hAnsi="Calibri"/>
                <w:b/>
                <w:sz w:val="20"/>
              </w:rPr>
              <w:t>Target Standard (Transisi)</w:t>
            </w:r>
          </w:p>
        </w:tc>
        <w:tc>
          <w:tcPr>
            <w:shd w:fill="17a2b8" w:val="clear"/>
            <w:tcMar>
              <w:top w:w="120.0" w:type="dxa"/>
              <w:left w:w="120.0" w:type="dxa"/>
              <w:bottom w:w="120.0" w:type="dxa"/>
              <w:right w:w="120.0" w:type="dxa"/>
            </w:tcMar>
            <w:vAlign w:val="top"/>
          </w:tcPr>
          <w:p>
            <w:pPr>
              <w:spacing w:before="40" w:after="40"/>
            </w:pPr>
            <w:r/>
            <w:r>
              <w:rPr>
                <w:rFonts w:ascii="Calibri" w:hAnsi="Calibri"/>
                <w:b/>
                <w:sz w:val="20"/>
              </w:rPr>
              <w:t>Bobot</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Akurasi Laporan Keuangan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Tingkat kesalahan pencatatan dalam neraca, laba/rugi, dan arus kas.</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Akurasi 95%</w:t>
              <w:br/>
              <w:t>(Toleransi minor/bukan material)</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30%</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Ketepatan Waktu Pelaporan</w:t>
              <w:br/>
              <w:t>(SLA)</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Laporan keuangan dan perpajakan bulanan disajikan &amp; diselesaikan sesuai tenggat waktu.</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Setiap tanggal 15</w:t>
              <w:br/>
              <w:t>bulan berikutnya</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25%</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Days Sales Outstanding</w:t>
              <w:br/>
              <w:t>(DSO)</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Rata-rata waktu yang dibutuhkan untuk menagih piutang dari klien.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Sesuai Term of Payment</w:t>
              <w:br/>
              <w:t>+ Toleransi 7 Hari</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25%</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Efisiensi Cash Flow</w:t>
              <w:br/>
              <w:t>Management</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Ketersediaan dana likuid untuk operasional dasar.</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Operasional penting</w:t>
              <w:br/>
              <w:t>(gaji/sewa/vendor utama)</w:t>
              <w:br/>
              <w:t>terbayar</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20%</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BAB III. KPI TIM SALES, PRESALES, DAN MARKETING</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Divisi Penjualan (Government &amp; Corporate Sales)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007bff" w:val="clear"/>
            <w:tcMar>
              <w:top w:w="120.0" w:type="dxa"/>
              <w:left w:w="120.0" w:type="dxa"/>
              <w:bottom w:w="120.0" w:type="dxa"/>
              <w:right w:w="120.0" w:type="dxa"/>
            </w:tcMar>
            <w:vAlign w:val="top"/>
          </w:tcPr>
          <w:p>
            <w:pPr>
              <w:spacing w:before="40" w:after="40"/>
            </w:pPr>
            <w:r/>
            <w:r>
              <w:rPr>
                <w:rFonts w:ascii="Calibri" w:hAnsi="Calibri"/>
                <w:b/>
                <w:sz w:val="20"/>
              </w:rPr>
              <w:t>Indikator Kinerja (KPI)</w:t>
            </w:r>
          </w:p>
        </w:tc>
        <w:tc>
          <w:tcPr>
            <w:shd w:fill="007bff" w:val="clear"/>
            <w:tcMar>
              <w:top w:w="120.0" w:type="dxa"/>
              <w:left w:w="120.0" w:type="dxa"/>
              <w:bottom w:w="120.0" w:type="dxa"/>
              <w:right w:w="120.0" w:type="dxa"/>
            </w:tcMar>
            <w:vAlign w:val="top"/>
          </w:tcPr>
          <w:p>
            <w:pPr>
              <w:spacing w:before="40" w:after="40"/>
            </w:pPr>
            <w:r/>
            <w:r>
              <w:rPr>
                <w:rFonts w:ascii="Calibri" w:hAnsi="Calibri"/>
                <w:b/>
                <w:sz w:val="20"/>
              </w:rPr>
              <w:t>Deskripsi &amp; Formula</w:t>
            </w:r>
          </w:p>
        </w:tc>
        <w:tc>
          <w:tcPr>
            <w:shd w:fill="007bff" w:val="clear"/>
            <w:tcMar>
              <w:top w:w="120.0" w:type="dxa"/>
              <w:left w:w="120.0" w:type="dxa"/>
              <w:bottom w:w="120.0" w:type="dxa"/>
              <w:right w:w="120.0" w:type="dxa"/>
            </w:tcMar>
            <w:vAlign w:val="top"/>
          </w:tcPr>
          <w:p>
            <w:pPr>
              <w:spacing w:before="40" w:after="40"/>
            </w:pPr>
            <w:r/>
            <w:r>
              <w:rPr>
                <w:rFonts w:ascii="Calibri" w:hAnsi="Calibri"/>
                <w:b/>
                <w:sz w:val="20"/>
              </w:rPr>
              <w:t>Target Standard (Transisi)</w:t>
            </w:r>
          </w:p>
        </w:tc>
        <w:tc>
          <w:tcPr>
            <w:shd w:fill="007bff" w:val="clear"/>
            <w:tcMar>
              <w:top w:w="120.0" w:type="dxa"/>
              <w:left w:w="120.0" w:type="dxa"/>
              <w:bottom w:w="120.0" w:type="dxa"/>
              <w:right w:w="120.0" w:type="dxa"/>
            </w:tcMar>
            <w:vAlign w:val="top"/>
          </w:tcPr>
          <w:p>
            <w:pPr>
              <w:spacing w:before="40" w:after="40"/>
            </w:pPr>
            <w:r/>
            <w:r>
              <w:rPr>
                <w:rFonts w:ascii="Calibri" w:hAnsi="Calibri"/>
                <w:b/>
                <w:sz w:val="20"/>
              </w:rPr>
              <w:t>Bobot</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Pencapaian Target Pendapatan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(Total Nilai PO Masuk / Target Sales) x 100%</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Minimal 75% dari Target</w:t>
              <w:br/>
              <w:t>Kuartalan tercapai</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35%</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Kunjungan Pipeline Baru</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Target Kunjungan Mencari Pipeline Baru</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Minimal 15 pipeline baru</w:t>
              <w:br/>
              <w:t>per minggu</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25%</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Conversion Rate Pipeline</w:t>
              <w:br/>
              <w:t>(Lead to Quote)</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Persentase prospek awal (leads) yang berhasil dikonversi ke tahap pengiriman penawaran/meeting lanjutan.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Minimal 20%</w:t>
              <w:br/>
              <w:t>leads terkonversi</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15%</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Retensi &amp; Repeat Order</w:t>
              <w:br/>
              <w:t>Pelanggan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Keberhasilan mendapatkan pemesanan ulang (Repeat Order) dari klien eksisting.</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Minimal 1-2 Repeat Order</w:t>
              <w:br/>
              <w:t>/ Kuartal</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15%</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Pengetahuan Produk &amp;</w:t>
              <w:br/>
              <w:t>Adaptasi Solusi</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Nilai evaluasi saat presentasi dan penyesuaian dengan portofolio produk baru.</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Lulus evaluasi internal dasar</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10%</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Divisi Presales &amp; Digital Marketing</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6610f2" w:val="clear"/>
            <w:tcMar>
              <w:top w:w="120.0" w:type="dxa"/>
              <w:left w:w="120.0" w:type="dxa"/>
              <w:bottom w:w="120.0" w:type="dxa"/>
              <w:right w:w="120.0" w:type="dxa"/>
            </w:tcMar>
            <w:vAlign w:val="top"/>
          </w:tcPr>
          <w:p>
            <w:pPr>
              <w:spacing w:before="40" w:after="40"/>
            </w:pPr>
            <w:r/>
            <w:r>
              <w:rPr>
                <w:rFonts w:ascii="Calibri" w:hAnsi="Calibri"/>
                <w:b/>
                <w:sz w:val="20"/>
              </w:rPr>
              <w:t>Indikator Kinerja (KPI)</w:t>
            </w:r>
          </w:p>
        </w:tc>
        <w:tc>
          <w:tcPr>
            <w:shd w:fill="6610f2" w:val="clear"/>
            <w:tcMar>
              <w:top w:w="120.0" w:type="dxa"/>
              <w:left w:w="120.0" w:type="dxa"/>
              <w:bottom w:w="120.0" w:type="dxa"/>
              <w:right w:w="120.0" w:type="dxa"/>
            </w:tcMar>
            <w:vAlign w:val="top"/>
          </w:tcPr>
          <w:p>
            <w:pPr>
              <w:spacing w:before="40" w:after="40"/>
            </w:pPr>
            <w:r/>
            <w:r>
              <w:rPr>
                <w:rFonts w:ascii="Calibri" w:hAnsi="Calibri"/>
                <w:b/>
                <w:sz w:val="20"/>
              </w:rPr>
              <w:t>Deskripsi &amp; Formula</w:t>
            </w:r>
          </w:p>
        </w:tc>
        <w:tc>
          <w:tcPr>
            <w:shd w:fill="6610f2" w:val="clear"/>
            <w:tcMar>
              <w:top w:w="120.0" w:type="dxa"/>
              <w:left w:w="120.0" w:type="dxa"/>
              <w:bottom w:w="120.0" w:type="dxa"/>
              <w:right w:w="120.0" w:type="dxa"/>
            </w:tcMar>
            <w:vAlign w:val="top"/>
          </w:tcPr>
          <w:p>
            <w:pPr>
              <w:spacing w:before="40" w:after="40"/>
            </w:pPr>
            <w:r/>
            <w:r>
              <w:rPr>
                <w:rFonts w:ascii="Calibri" w:hAnsi="Calibri"/>
                <w:b/>
                <w:sz w:val="20"/>
              </w:rPr>
              <w:t>Target Standard (Transisi)</w:t>
            </w:r>
          </w:p>
        </w:tc>
        <w:tc>
          <w:tcPr>
            <w:shd w:fill="6610f2" w:val="clear"/>
            <w:tcMar>
              <w:top w:w="120.0" w:type="dxa"/>
              <w:left w:w="120.0" w:type="dxa"/>
              <w:bottom w:w="120.0" w:type="dxa"/>
              <w:right w:w="120.0" w:type="dxa"/>
            </w:tcMar>
            <w:vAlign w:val="top"/>
          </w:tcPr>
          <w:p>
            <w:pPr>
              <w:spacing w:before="40" w:after="40"/>
            </w:pPr>
            <w:r/>
            <w:r>
              <w:rPr>
                <w:rFonts w:ascii="Calibri" w:hAnsi="Calibri"/>
                <w:b/>
                <w:sz w:val="20"/>
              </w:rPr>
              <w:t>Bobot</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Rasio Dukungan Kemenangan</w:t>
              <w:br/>
              <w:t>(Presales)</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(Proyek Menang Didukung Presales / Total Proyek Didukung) x 100%</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Minimal 25% - 30%</w:t>
              <w:br/>
              <w:t>Win Rate Dukungan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20%</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Akurasi Desain</w:t>
              <w:br/>
              <w:t>(Cost Overrun Tolerance)</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Tingkat kesalahan desain BoQ yang menyebabkan biaya tambahan saat instalasi.</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0% error tolerance</w:t>
              <w:br/>
              <w:t>(zero design errors)</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20%</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Follower Media Sosial</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Meningkatkan jumlah followers IG</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30 followers baru per bulan</w:t>
              <w:br/>
              <w:t>(dibandingkan bulan sebelumnya)</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15%</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Video Aktivitas dan Produk</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Membuat video aktivitas proyek dan konten promosi produk</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Minimal 5 video per bulan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15%</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SLA Penyusunan Desain &amp;</w:t>
              <w:br/>
              <w:t>Proposal</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Kecepatan merespon permintaan desain/proposal dari tim Sales.</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Penyelesaian 90% on-time</w:t>
              <w:br/>
              <w:t>(maks. perpanjangan 1 hari)</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15%</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Lead Generation &amp;</w:t>
              <w:br/>
              <w:t>Pemasaran Digital</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Membangun aset digital (website/sosmed) dan mulai mendapatkan leads masuk.</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Aset digital rapi &amp; ada</w:t>
              <w:br/>
              <w:t>aliran leads (prospek) awal</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15%</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BAB IV. KPI OPERASIONAL, TEKNIS, DAN SUPPORT</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Tim Teknis (Rahman, Willy, Irvan)</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d7e14" w:val="clear"/>
            <w:tcMar>
              <w:top w:w="120.0" w:type="dxa"/>
              <w:left w:w="120.0" w:type="dxa"/>
              <w:bottom w:w="120.0" w:type="dxa"/>
              <w:right w:w="120.0" w:type="dxa"/>
            </w:tcMar>
            <w:vAlign w:val="top"/>
          </w:tcPr>
          <w:p>
            <w:pPr>
              <w:spacing w:before="40" w:after="40"/>
            </w:pPr>
            <w:r/>
            <w:r>
              <w:rPr>
                <w:rFonts w:ascii="Calibri" w:hAnsi="Calibri"/>
                <w:b/>
                <w:sz w:val="20"/>
              </w:rPr>
              <w:t>Indikator Kinerja (KPI)</w:t>
            </w:r>
          </w:p>
        </w:tc>
        <w:tc>
          <w:tcPr>
            <w:shd w:fill="fd7e14" w:val="clear"/>
            <w:tcMar>
              <w:top w:w="120.0" w:type="dxa"/>
              <w:left w:w="120.0" w:type="dxa"/>
              <w:bottom w:w="120.0" w:type="dxa"/>
              <w:right w:w="120.0" w:type="dxa"/>
            </w:tcMar>
            <w:vAlign w:val="top"/>
          </w:tcPr>
          <w:p>
            <w:pPr>
              <w:spacing w:before="40" w:after="40"/>
            </w:pPr>
            <w:r/>
            <w:r>
              <w:rPr>
                <w:rFonts w:ascii="Calibri" w:hAnsi="Calibri"/>
                <w:b/>
                <w:sz w:val="20"/>
              </w:rPr>
              <w:t>Deskripsi &amp; Formula</w:t>
            </w:r>
          </w:p>
        </w:tc>
        <w:tc>
          <w:tcPr>
            <w:shd w:fill="fd7e14" w:val="clear"/>
            <w:tcMar>
              <w:top w:w="120.0" w:type="dxa"/>
              <w:left w:w="120.0" w:type="dxa"/>
              <w:bottom w:w="120.0" w:type="dxa"/>
              <w:right w:w="120.0" w:type="dxa"/>
            </w:tcMar>
            <w:vAlign w:val="top"/>
          </w:tcPr>
          <w:p>
            <w:pPr>
              <w:spacing w:before="40" w:after="40"/>
            </w:pPr>
            <w:r/>
            <w:r>
              <w:rPr>
                <w:rFonts w:ascii="Calibri" w:hAnsi="Calibri"/>
                <w:b/>
                <w:sz w:val="20"/>
              </w:rPr>
              <w:t>Target Standard (Transisi)</w:t>
            </w:r>
          </w:p>
        </w:tc>
        <w:tc>
          <w:tcPr>
            <w:shd w:fill="fd7e14" w:val="clear"/>
            <w:tcMar>
              <w:top w:w="120.0" w:type="dxa"/>
              <w:left w:w="120.0" w:type="dxa"/>
              <w:bottom w:w="120.0" w:type="dxa"/>
              <w:right w:w="120.0" w:type="dxa"/>
            </w:tcMar>
            <w:vAlign w:val="top"/>
          </w:tcPr>
          <w:p>
            <w:pPr>
              <w:spacing w:before="40" w:after="40"/>
            </w:pPr>
            <w:r/>
            <w:r>
              <w:rPr>
                <w:rFonts w:ascii="Calibri" w:hAnsi="Calibri"/>
                <w:b/>
                <w:sz w:val="20"/>
              </w:rPr>
              <w:t>Bobot</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SLA Penyelesaian</w:t>
              <w:br/>
              <w:t>Instalasi/Proyek</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Ketepatan waktu pengerjaan instalasi sesuai timeline klien.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Tercapai 90%</w:t>
              <w:br/>
              <w:t>(ada toleransi penyesuaian jadwal)</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35%</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Tingkat Recall</w:t>
              <w:br/>
              <w:t>(Pekerjaan Diulang)</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Jumlah keluhan/perbaikan ulang akibat instalasi awal yang kurang sempurna.</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Maksimal 5% Recall Rate</w:t>
              <w:br/>
              <w:t>dari total proyek</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30%</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Kecepatan Respon</w:t>
              <w:br/>
              <w:t>Troubleshooting</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Waktu respon (Response Time) sejak tiket keluhan dari pelanggan/internal diterima.</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Maks. 1 Jam (Response)</w:t>
              <w:br/>
              <w:t>selama jam kerja</w:t>
              <w:br/>
              <w:t>dan 3 jam di luar jam kerja</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25%</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Kerapihan Kerja &amp;</w:t>
              <w:br/>
              <w:t>Pelaporan Lapangan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Kepatuhan mengirim foto hasil pekerjaan / BAST ke grup/sistem setelah selesai.</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Konsistensi pelaporan 90%</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10%</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Head Warehouse (Sugeng) &amp; Tim Gudang/Logistik/Supir</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28a745" w:val="clear"/>
            <w:tcMar>
              <w:top w:w="120.0" w:type="dxa"/>
              <w:left w:w="120.0" w:type="dxa"/>
              <w:bottom w:w="120.0" w:type="dxa"/>
              <w:right w:w="120.0" w:type="dxa"/>
            </w:tcMar>
            <w:vAlign w:val="top"/>
          </w:tcPr>
          <w:p>
            <w:pPr>
              <w:spacing w:before="40" w:after="40"/>
            </w:pPr>
            <w:r/>
            <w:r>
              <w:rPr>
                <w:rFonts w:ascii="Calibri" w:hAnsi="Calibri"/>
                <w:b/>
                <w:sz w:val="20"/>
              </w:rPr>
              <w:t>Indikator Kinerja (KPI)</w:t>
            </w:r>
          </w:p>
        </w:tc>
        <w:tc>
          <w:tcPr>
            <w:shd w:fill="28a745" w:val="clear"/>
            <w:tcMar>
              <w:top w:w="120.0" w:type="dxa"/>
              <w:left w:w="120.0" w:type="dxa"/>
              <w:bottom w:w="120.0" w:type="dxa"/>
              <w:right w:w="120.0" w:type="dxa"/>
            </w:tcMar>
            <w:vAlign w:val="top"/>
          </w:tcPr>
          <w:p>
            <w:pPr>
              <w:spacing w:before="40" w:after="40"/>
            </w:pPr>
            <w:r/>
            <w:r>
              <w:rPr>
                <w:rFonts w:ascii="Calibri" w:hAnsi="Calibri"/>
                <w:b/>
                <w:sz w:val="20"/>
              </w:rPr>
              <w:t>Deskripsi &amp; Formula</w:t>
            </w:r>
          </w:p>
        </w:tc>
        <w:tc>
          <w:tcPr>
            <w:shd w:fill="28a745" w:val="clear"/>
            <w:tcMar>
              <w:top w:w="120.0" w:type="dxa"/>
              <w:left w:w="120.0" w:type="dxa"/>
              <w:bottom w:w="120.0" w:type="dxa"/>
              <w:right w:w="120.0" w:type="dxa"/>
            </w:tcMar>
            <w:vAlign w:val="top"/>
          </w:tcPr>
          <w:p>
            <w:pPr>
              <w:spacing w:before="40" w:after="40"/>
            </w:pPr>
            <w:r/>
            <w:r>
              <w:rPr>
                <w:rFonts w:ascii="Calibri" w:hAnsi="Calibri"/>
                <w:b/>
                <w:sz w:val="20"/>
              </w:rPr>
              <w:t>Target Standard (Transisi)</w:t>
            </w:r>
          </w:p>
        </w:tc>
        <w:tc>
          <w:tcPr>
            <w:shd w:fill="28a745" w:val="clear"/>
            <w:tcMar>
              <w:top w:w="120.0" w:type="dxa"/>
              <w:left w:w="120.0" w:type="dxa"/>
              <w:bottom w:w="120.0" w:type="dxa"/>
              <w:right w:w="120.0" w:type="dxa"/>
            </w:tcMar>
            <w:vAlign w:val="top"/>
          </w:tcPr>
          <w:p>
            <w:pPr>
              <w:spacing w:before="40" w:after="40"/>
            </w:pPr>
            <w:r/>
            <w:r>
              <w:rPr>
                <w:rFonts w:ascii="Calibri" w:hAnsi="Calibri"/>
                <w:b/>
                <w:sz w:val="20"/>
              </w:rPr>
              <w:t>Bobot</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Akurasi Inventory</w:t>
              <w:br/>
              <w:t>(Stock Opname)</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Kesesuaian jumlah fisik barang di gudang dengan catatan sistem.</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Akurasi 95%</w:t>
              <w:br/>
              <w:t>(Toleransi masa perapihan 5%)</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50%</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SLA Pemrosesan &amp;</w:t>
              <w:br/>
              <w:t>Pengiriman Barang</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Kecepatan menyiapkan &amp; mengirim barang.</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Tercapai 90% tepat waktu</w:t>
              <w:br/>
              <w:t>(minim keterlambatan)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30%</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Penataan Gudang</w:t>
              <w:br/>
              <w:t>(5R Dasar)</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Memulai merapikan tata letak barang agar tidak menumpuk/mudah dicari.</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Terlihat perbaikan tata letak</w:t>
              <w:br/>
              <w:t>&amp; pelabelan dasar</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10%</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Pemeliharaan Armada &amp;</w:t>
              <w:br/>
              <w:t>Dokumen Jalan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Kendaraan jalan dengan baik &amp; pengisian form pengiriman lengkap.</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Minim keluhan &amp; surat jalan</w:t>
              <w:br/>
              <w:t>terarsipkan lengkap</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10%</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General Affairs (Andreas), Administrasi &amp; Support</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e83e8c" w:val="clear"/>
            <w:tcMar>
              <w:top w:w="120.0" w:type="dxa"/>
              <w:left w:w="120.0" w:type="dxa"/>
              <w:bottom w:w="120.0" w:type="dxa"/>
              <w:right w:w="120.0" w:type="dxa"/>
            </w:tcMar>
            <w:vAlign w:val="top"/>
          </w:tcPr>
          <w:p>
            <w:pPr>
              <w:spacing w:before="40" w:after="40"/>
            </w:pPr>
            <w:r/>
            <w:r>
              <w:rPr>
                <w:rFonts w:ascii="Calibri" w:hAnsi="Calibri"/>
                <w:b/>
                <w:sz w:val="20"/>
              </w:rPr>
              <w:t>Indikator Kinerja (KPI)</w:t>
            </w:r>
          </w:p>
        </w:tc>
        <w:tc>
          <w:tcPr>
            <w:shd w:fill="e83e8c" w:val="clear"/>
            <w:tcMar>
              <w:top w:w="120.0" w:type="dxa"/>
              <w:left w:w="120.0" w:type="dxa"/>
              <w:bottom w:w="120.0" w:type="dxa"/>
              <w:right w:w="120.0" w:type="dxa"/>
            </w:tcMar>
            <w:vAlign w:val="top"/>
          </w:tcPr>
          <w:p>
            <w:pPr>
              <w:spacing w:before="40" w:after="40"/>
            </w:pPr>
            <w:r/>
            <w:r>
              <w:rPr>
                <w:rFonts w:ascii="Calibri" w:hAnsi="Calibri"/>
                <w:b/>
                <w:sz w:val="20"/>
              </w:rPr>
              <w:t>Deskripsi &amp; Formula</w:t>
            </w:r>
          </w:p>
        </w:tc>
        <w:tc>
          <w:tcPr>
            <w:shd w:fill="e83e8c" w:val="clear"/>
            <w:tcMar>
              <w:top w:w="120.0" w:type="dxa"/>
              <w:left w:w="120.0" w:type="dxa"/>
              <w:bottom w:w="120.0" w:type="dxa"/>
              <w:right w:w="120.0" w:type="dxa"/>
            </w:tcMar>
            <w:vAlign w:val="top"/>
          </w:tcPr>
          <w:p>
            <w:pPr>
              <w:spacing w:before="40" w:after="40"/>
            </w:pPr>
            <w:r/>
            <w:r>
              <w:rPr>
                <w:rFonts w:ascii="Calibri" w:hAnsi="Calibri"/>
                <w:b/>
                <w:sz w:val="20"/>
              </w:rPr>
              <w:t>Target Standard (Transisi)</w:t>
            </w:r>
          </w:p>
        </w:tc>
        <w:tc>
          <w:tcPr>
            <w:shd w:fill="e83e8c" w:val="clear"/>
            <w:tcMar>
              <w:top w:w="120.0" w:type="dxa"/>
              <w:left w:w="120.0" w:type="dxa"/>
              <w:bottom w:w="120.0" w:type="dxa"/>
              <w:right w:w="120.0" w:type="dxa"/>
            </w:tcMar>
            <w:vAlign w:val="top"/>
          </w:tcPr>
          <w:p>
            <w:pPr>
              <w:spacing w:before="40" w:after="40"/>
            </w:pPr>
            <w:r/>
            <w:r>
              <w:rPr>
                <w:rFonts w:ascii="Calibri" w:hAnsi="Calibri"/>
                <w:b/>
                <w:sz w:val="20"/>
              </w:rPr>
              <w:t>Bobot</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TKDN Proses</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Ketepatan waktu pengumpulan dokumen pendukung</w:t>
              <w:br/>
              <w:t>Durasi proses pengajuan ke lembaga verifikasi</w:t>
              <w:br/>
              <w:t>Kecepatan respons sanggahan</w:t>
              <w:br/>
              <w:t>Kecepatan hasil akhir terbit sertifikat TKDN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Maksimal 150 hari</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40%</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Perawatan Gedung</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Persentase penyelesaian perawatan gedung sesuai jadwal (preventive maintenance)</w:t>
              <w:br/>
              <w:t>Penanganan keluhan dan perawatan fasilitas kantor (AC, ATK, Listrik, Kebersihan Kantor)</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Direspon &amp; di-follow up</w:t>
              <w:br/>
              <w:t>dalam hari yang sama</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25%</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Pengadaan &amp; Manajemen</w:t>
              <w:br/>
              <w:t>Supplier Lokal</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Keakuratan harga bersaing untuk kebutuhan supplier lokal</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Jumlah pengadaan yang sesuai/</w:t>
              <w:br/>
              <w:t>di bawah harga pasar/</w:t>
              <w:br/>
              <w:t>total pengadaan x 100%)</w:t>
              <w:br/>
              <w:t>Minimal 3 vendor</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15%</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Manajemen SDM &amp;</w:t>
              <w:br/>
              <w:t>Operasional</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Tingkat akurasi data absensi, cuti dan pengajuan lembur karyawan</w:t>
              <w:br/>
              <w:t>Efisiensi biaya lembur karyawan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Progres perapihan arsip</w:t>
              <w:br/>
              <w:t>terlihat tiap bulan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10%</w:t>
            </w:r>
          </w:p>
        </w:tc>
      </w:tr>
      <w:tr>
        <w:trPr>
          <w:cantSplit w:val="0"/>
          <w:tblHeader w:val="0"/>
        </w:trPr>
        <w:tc>
          <w:tcPr>
            <w:shd w:fill="auto" w:val="clear"/>
            <w:tcMar>
              <w:top w:w="120.0" w:type="dxa"/>
              <w:left w:w="120.0" w:type="dxa"/>
              <w:bottom w:w="120.0" w:type="dxa"/>
              <w:right w:w="120.0" w:type="dxa"/>
            </w:tcMar>
            <w:vAlign w:val="top"/>
          </w:tcPr>
          <w:p>
            <w:pPr>
              <w:spacing w:before="40" w:after="40"/>
            </w:pPr>
            <w:r/>
            <w:r>
              <w:rPr>
                <w:rFonts w:ascii="Calibri" w:hAnsi="Calibri"/>
                <w:b w:val="0"/>
                <w:sz w:val="20"/>
              </w:rPr>
              <w:t>Respon Perbaikan</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Kecepatan respons perbaikan kerusakan gedung</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&lt;12 jam</w:t>
            </w:r>
          </w:p>
        </w:tc>
        <w:tc>
          <w:tcPr>
            <w:shd w:fill="auto" w:val="clear"/>
            <w:tcMar>
              <w:top w:w="120.0" w:type="dxa"/>
              <w:left w:w="120.0" w:type="dxa"/>
              <w:bottom w:w="120.0" w:type="dxa"/>
              <w:right w:w="120.0" w:type="dxa"/>
            </w:tcMar>
            <w:vAlign w:val="top"/>
          </w:tcPr>
          <w:p>
            <w:pPr>
              <w:spacing w:before="40" w:after="40"/>
            </w:pPr>
            <w:r/>
            <w:r>
              <w:rPr>
                <w:rFonts w:ascii="Calibri" w:hAnsi="Calibri"/>
                <w:b w:val="0"/>
                <w:sz w:val="20"/>
              </w:rPr>
              <w:t>10%</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BAB V. SKEMA REWARD &amp; PENGHARGAAN NON-FINANSIAL</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Sebagai bentuk apresiasi perusahaan terhadap tim yang berhasil mencapai atau melampaui target KPI (masuk pada Skala 4 dan 5), perusahaan menetapkan skema penghargaan non-finansial. Pendekatan ini bertujuan untuk menjaga motivasi, keseimbangan hidup (work-life balance), dan apresiasi bagi dedikasi karyawan selama masa transisi 2026:</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jc w:val="both"/>
      </w:pPr>
      <w:r>
        <w:rPr>
          <w:rFonts w:ascii="Calibri" w:hAnsi="Calibri"/>
          <w:sz w:val="22"/>
        </w:rPr>
        <w:t>Tambahan Cuti Berbayar (Extra PTO): Karyawan yang berhasil mencapai skor KPI minimal 95% selama empat (4) kuarter terakhir (employee of the month) berhak mendapatkan cuti tambahan sebanyak 1 hari kerja (1 hari) yang diberikan dalam satu kontrak tahun berjalan.</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jc w:val="both"/>
      </w:pPr>
      <w:r>
        <w:rPr>
          <w:rFonts w:ascii="Calibri" w:hAnsi="Calibri"/>
          <w:sz w:val="22"/>
        </w:rPr>
        <w:t>Fleksibilitas Kerja (WFH/WFA Privileges): Khusus untuk divisi yang secara sistem memungkinkan bekerja di luar kantor (seperti Presales, Digital Marketing, atau tim Sales dengan target administrasi tertentu), karyawan yang mendapat persetujuan Manajer akan diberikan kesempatan Work From Home 1 hari dalam satu bulan dengan persetujuan Manajer.</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jc w:val="both"/>
      </w:pPr>
      <w:r>
        <w:rPr>
          <w:rFonts w:ascii="Calibri" w:hAnsi="Calibri"/>
          <w:sz w:val="22"/>
        </w:rPr>
        <w:t>Sponsor &amp; Pengembangan Karir: Karyawan berprestasi (khususnya tim Teknis, Presales, dan Finance) akan diprioritaskan untuk mendapatkan pembiayaan penuh dari perusahaan dalam mengikuti ujian sertifikasi profesional atau pelatihan tingkat internasional.</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jc w:val="both"/>
      </w:pPr>
      <w:r>
        <w:rPr>
          <w:rFonts w:ascii="Calibri" w:hAnsi="Calibri"/>
          <w:sz w:val="22"/>
        </w:rPr>
        <w:t>Penghargaan Internal (Employee of the Month): Pengakuan publik berupa sertifikat, plakat, dan penghargaan uang sebesar Rp 250.000 yang diberikan setiap bulan di hadapan seluruh tim dan diumumkan di depan tim dan staf.</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BAB VI. PENGESAHAN DOKUMEN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450" w:lineRule="auto"/>
        <w:jc w:val="both"/>
        <w:rPr/>
      </w:pPr>
      <w:r w:rsidDel="00000000" w:rsidR="00000000" w:rsidRPr="00000000">
        <w:rPr>
          <w:rtl w:val="0"/>
        </w:rPr>
        <w:t xml:space="preserve">Dokumen KPI (Fase Transisi) beserta skema reward ini merupakan acuan sementara untuk tahun 2026 guna membangun ritme kerja, kedisiplinan, dan menata ulang pondasi operasional tanpa memberikan tekanan yang tidak realistis pada masa adaptasi karyawan.</w:t>
      </w:r>
    </w:p>
    <w:tbl>
      <w:tblPr>
        <w:tblStyle w:val="Table8"/>
        <w:tblW w:w="9360.0" w:type="dxa"/>
        <w:jc w:val="left"/>
        <w:tblLayout w:type="fixed"/>
        <w:tblLook w:val="0600"/>
      </w:tblPr>
      <w:tblGrid>
        <w:gridCol w:w="3088.8"/>
        <w:gridCol w:w="3088.8"/>
        <w:gridCol w:w="3182.4"/>
        <w:tblGridChange w:id="0">
          <w:tblGrid>
            <w:gridCol w:w="3088.8"/>
            <w:gridCol w:w="3088.8"/>
            <w:gridCol w:w="3182.4"/>
          </w:tblGrid>
        </w:tblGridChange>
      </w:tblGrid>
      <w:tr>
        <w:trPr>
          <w:cantSplit w:val="0"/>
          <w:tblHeader w:val="0"/>
        </w:trPr>
        <w:tc>
          <w:tcPr>
            <w:shd w:fill="auto" w:val="clear"/>
            <w:tcMar>
              <w:top w:w="300.0" w:type="dxa"/>
              <w:left w:w="300.0" w:type="dxa"/>
              <w:bottom w:w="300.0" w:type="dxa"/>
              <w:right w:w="30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jc w:val="center"/>
              <w:rPr>
                <w:b w:val="1"/>
                <w:bCs w:val="1"/>
                <w:u w:val="single"/>
              </w:rPr>
            </w:pPr>
            <w:r w:rsidDel="00000000" w:rsidR="00000000" w:rsidRPr="00000000">
              <w:rPr>
                <w:b w:val="1"/>
                <w:bCs w:val="1"/>
                <w:u w:val="single"/>
                <w:rtl w:val="0"/>
              </w:rPr>
              <w:t xml:space="preserve">Andi Saputra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Manager Development</w:t>
            </w:r>
          </w:p>
        </w:tc>
        <w:tc>
          <w:tcPr>
            <w:shd w:fill="auto" w:val="clear"/>
            <w:tcMar>
              <w:top w:w="300.0" w:type="dxa"/>
              <w:left w:w="300.0" w:type="dxa"/>
              <w:bottom w:w="300.0" w:type="dxa"/>
              <w:right w:w="30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Disetujui Oleh,</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jc w:val="center"/>
              <w:rPr>
                <w:b w:val="1"/>
                <w:bCs w:val="1"/>
                <w:u w:val="single"/>
              </w:rPr>
            </w:pPr>
            <w:r w:rsidDel="00000000" w:rsidR="00000000" w:rsidRPr="00000000">
              <w:rPr>
                <w:b w:val="1"/>
                <w:bCs w:val="1"/>
                <w:u w:val="single"/>
                <w:rtl w:val="0"/>
              </w:rPr>
              <w:t xml:space="preserve">William Hosea Eko Putro</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Direktur</w:t>
            </w:r>
          </w:p>
        </w:tc>
        <w:tc>
          <w:tcPr>
            <w:shd w:fill="auto" w:val="clear"/>
            <w:tcMar>
              <w:top w:w="300.0" w:type="dxa"/>
              <w:left w:w="300.0" w:type="dxa"/>
              <w:bottom w:w="300.0" w:type="dxa"/>
              <w:right w:w="30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Mengetahui (Dewan Komisaris),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jc w:val="center"/>
              <w:rPr>
                <w:b w:val="1"/>
                <w:bCs w:val="1"/>
                <w:u w:val="single"/>
              </w:rPr>
            </w:pPr>
            <w:r w:rsidDel="00000000" w:rsidR="00000000" w:rsidRPr="00000000">
              <w:rPr>
                <w:b w:val="1"/>
                <w:bCs w:val="1"/>
                <w:u w:val="single"/>
                <w:rtl w:val="0"/>
              </w:rPr>
              <w:t xml:space="preserve">Slamet &amp; Willung</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Komisaris</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