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after="120"/>
        <w:jc w:val="center"/>
      </w:pPr>
      <w:r>
        <w:rPr>
          <w:rFonts w:ascii="Calibri" w:hAnsi="Calibri"/>
          <w:b/>
          <w:color w:val="003366"/>
          <w:sz w:val="40"/>
        </w:rPr>
        <w:t>PT MITSINDO VISUAL PRATAMA</w:t>
      </w:r>
    </w:p>
    <w:p>
      <w:pPr>
        <w:spacing w:before="40" w:after="40"/>
      </w:pPr>
    </w:p>
    <w:p>
      <w:pPr>
        <w:spacing w:after="120"/>
        <w:jc w:val="center"/>
      </w:pPr>
      <w:r>
        <w:rPr>
          <w:rFonts w:ascii="Calibri" w:hAnsi="Calibri"/>
          <w:b/>
          <w:color w:val="00528A"/>
          <w:sz w:val="32"/>
        </w:rPr>
        <w:t>BUKU PANDUAN</w:t>
      </w:r>
    </w:p>
    <w:p>
      <w:pPr>
        <w:spacing w:after="120"/>
        <w:jc w:val="center"/>
      </w:pPr>
      <w:r>
        <w:rPr>
          <w:rFonts w:ascii="Calibri" w:hAnsi="Calibri"/>
          <w:b/>
          <w:color w:val="00528A"/>
          <w:sz w:val="32"/>
        </w:rPr>
        <w:t>SISTEM MANAJEMEN MUTU</w:t>
      </w:r>
    </w:p>
    <w:p>
      <w:pPr>
        <w:spacing w:after="120"/>
        <w:jc w:val="center"/>
      </w:pPr>
      <w:r>
        <w:rPr>
          <w:rFonts w:ascii="Calibri" w:hAnsi="Calibri"/>
          <w:b/>
          <w:color w:val="333333"/>
          <w:sz w:val="26"/>
        </w:rPr>
        <w:t>(QUALITY MANAGEMENT SYSTEM)</w:t>
      </w:r>
    </w:p>
    <w:p>
      <w:pPr>
        <w:spacing w:before="40" w:after="40"/>
      </w:pPr>
    </w:p>
    <w:p>
      <w:pPr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/>
      </w:pPr>
    </w:p>
    <w:p>
      <w:pPr>
        <w:spacing w:after="120"/>
        <w:jc w:val="center"/>
      </w:pPr>
      <w:r>
        <w:rPr>
          <w:rFonts w:ascii="Calibri" w:hAnsi="Calibri"/>
          <w:b/>
          <w:color w:val="00528A"/>
          <w:sz w:val="24"/>
        </w:rPr>
        <w:t>BERDASARKAN STANDAR ISO 9001:2015</w:t>
      </w:r>
    </w:p>
    <w:p>
      <w:pPr>
        <w:spacing w:before="40" w:after="40"/>
      </w:pPr>
    </w:p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E8F0F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Nomor Dokumen</w:t>
            </w:r>
          </w:p>
        </w:tc>
        <w:tc>
          <w:tcPr>
            <w:tcW w:type="dxa" w:w="456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MVP-QMS-001</w:t>
            </w:r>
          </w:p>
        </w:tc>
      </w:tr>
      <w:tr>
        <w:tc>
          <w:tcPr>
            <w:tcW w:type="dxa" w:w="4561"/>
            <w:shd w:fill="E8F0F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Revisi</w:t>
            </w:r>
          </w:p>
        </w:tc>
        <w:tc>
          <w:tcPr>
            <w:tcW w:type="dxa" w:w="456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02</w:t>
            </w:r>
          </w:p>
        </w:tc>
      </w:tr>
      <w:tr>
        <w:tc>
          <w:tcPr>
            <w:tcW w:type="dxa" w:w="4561"/>
            <w:shd w:fill="E8F0F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Tanggal Efektif</w:t>
            </w:r>
          </w:p>
        </w:tc>
        <w:tc>
          <w:tcPr>
            <w:tcW w:type="dxa" w:w="456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01 Juni 2026</w:t>
            </w:r>
          </w:p>
        </w:tc>
      </w:tr>
      <w:tr>
        <w:tc>
          <w:tcPr>
            <w:tcW w:type="dxa" w:w="4561"/>
            <w:shd w:fill="E8F0F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Status</w:t>
            </w:r>
          </w:p>
        </w:tc>
        <w:tc>
          <w:tcPr>
            <w:tcW w:type="dxa" w:w="456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BERLAKU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spacing w:line="320" w:lineRule="exact"/>
        <w:jc w:val="center"/>
      </w:pPr>
      <w:r>
        <w:rPr>
          <w:rFonts w:ascii="Calibri" w:hAnsi="Calibri"/>
          <w:color w:val="666666"/>
          <w:sz w:val="22"/>
        </w:rPr>
        <w:t>PT. Mitsindo Visual Pratama (MVP)</w:t>
        <w:br/>
      </w:r>
      <w:r>
        <w:rPr>
          <w:rFonts w:ascii="Calibri" w:hAnsi="Calibri"/>
          <w:color w:val="666666"/>
          <w:sz w:val="22"/>
        </w:rPr>
        <w:t>Rukan Puri Delta Mas Blok I No.46-47</w:t>
        <w:br/>
      </w:r>
      <w:r>
        <w:rPr>
          <w:rFonts w:ascii="Calibri" w:hAnsi="Calibri"/>
          <w:color w:val="666666"/>
          <w:sz w:val="22"/>
        </w:rPr>
        <w:t>Jl. Bandengan Selatan No.43, Jakarta Utara 14450</w:t>
        <w:br/>
      </w:r>
      <w:r>
        <w:rPr>
          <w:rFonts w:ascii="Calibri" w:hAnsi="Calibri"/>
          <w:color w:val="666666"/>
          <w:sz w:val="22"/>
        </w:rPr>
        <w:t>Telp: +6221 668 0223, 668 2033 | Fax: +6221 668 5110</w:t>
        <w:br/>
      </w:r>
      <w:r>
        <w:rPr>
          <w:rFonts w:ascii="Calibri" w:hAnsi="Calibri"/>
          <w:color w:val="666666"/>
          <w:sz w:val="22"/>
        </w:rPr>
        <w:t>Email: sales@mitsindo.co.id | Web: www.mitsindo.co.id</w:t>
        <w:br/>
      </w:r>
    </w:p>
    <w:p>
      <w:pPr>
        <w:spacing w:before="40" w:after="40"/>
      </w:pPr>
    </w:p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Disiapkan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Diperiksa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Disetujui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Andi Saputra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William Hosea Eko Putro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Dewan Komisaris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Manager Development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Direktur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Slamet &amp; Willung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</w:r>
          </w:p>
        </w:tc>
      </w:tr>
    </w:tbl>
    <w:p>
      <w:r>
        <w:br w:type="page"/>
      </w:r>
    </w:p>
    <w:p>
      <w:pPr>
        <w:spacing w:after="120"/>
        <w:jc w:val="center"/>
      </w:pPr>
      <w:r>
        <w:rPr>
          <w:rFonts w:ascii="Calibri" w:hAnsi="Calibri"/>
          <w:b/>
          <w:color w:val="003366"/>
          <w:sz w:val="28"/>
        </w:rPr>
        <w:t>HISTORI REVISI DOKUMEN</w:t>
      </w:r>
    </w:p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Revisi</w:t>
            </w:r>
          </w:p>
        </w:tc>
        <w:tc>
          <w:tcPr>
            <w:tcW w:type="dxa" w:w="2280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Tanggal</w:t>
            </w:r>
          </w:p>
        </w:tc>
        <w:tc>
          <w:tcPr>
            <w:tcW w:type="dxa" w:w="2280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Uraian Perubahan</w:t>
            </w:r>
          </w:p>
        </w:tc>
        <w:tc>
          <w:tcPr>
            <w:tcW w:type="dxa" w:w="2280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Oleh</w:t>
            </w:r>
          </w:p>
        </w:tc>
      </w:tr>
      <w:tr>
        <w:tc>
          <w:tcPr>
            <w:tcW w:type="dxa" w:w="2280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00</w:t>
            </w:r>
          </w:p>
        </w:tc>
        <w:tc>
          <w:tcPr>
            <w:tcW w:type="dxa" w:w="2280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01 Juni 2026</w:t>
            </w:r>
          </w:p>
        </w:tc>
        <w:tc>
          <w:tcPr>
            <w:tcW w:type="dxa" w:w="2280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Pembuatan dokumen awal</w:t>
            </w:r>
          </w:p>
        </w:tc>
        <w:tc>
          <w:tcPr>
            <w:tcW w:type="dxa" w:w="2280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Manager Development</w:t>
            </w:r>
          </w:p>
        </w:tc>
      </w:tr>
      <w:tr>
        <w:tc>
          <w:tcPr>
            <w:tcW w:type="dxa" w:w="2280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01</w:t>
            </w:r>
          </w:p>
        </w:tc>
        <w:tc>
          <w:tcPr>
            <w:tcW w:type="dxa" w:w="2280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01 Juni 2026</w:t>
            </w:r>
          </w:p>
        </w:tc>
        <w:tc>
          <w:tcPr>
            <w:tcW w:type="dxa" w:w="2280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Revisi data profil perusahaan, KPI, ISO 9001:2015</w:t>
            </w:r>
          </w:p>
        </w:tc>
        <w:tc>
          <w:tcPr>
            <w:tcW w:type="dxa" w:w="2280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Manager Development</w:t>
            </w:r>
          </w:p>
        </w:tc>
      </w:tr>
      <w:tr>
        <w:tc>
          <w:tcPr>
            <w:tcW w:type="dxa" w:w="2280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02</w:t>
            </w:r>
          </w:p>
        </w:tc>
        <w:tc>
          <w:tcPr>
            <w:tcW w:type="dxa" w:w="2280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01 Juni 2026</w:t>
            </w:r>
          </w:p>
        </w:tc>
        <w:tc>
          <w:tcPr>
            <w:tcW w:type="dxa" w:w="2280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Koreksi struktur organisasi sesuai dokumen resmi V.01 MVP 2026</w:t>
            </w:r>
          </w:p>
        </w:tc>
        <w:tc>
          <w:tcPr>
            <w:tcW w:type="dxa" w:w="2280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Manager Development</w:t>
            </w:r>
          </w:p>
        </w:tc>
      </w:tr>
    </w:tbl>
    <w:p>
      <w:pPr>
        <w:spacing w:before="40" w:after="40"/>
      </w:pPr>
    </w:p>
    <w:p>
      <w:pPr>
        <w:spacing w:after="120"/>
        <w:jc w:val="center"/>
      </w:pPr>
      <w:r>
        <w:rPr>
          <w:rFonts w:ascii="Calibri" w:hAnsi="Calibri"/>
          <w:b/>
          <w:color w:val="003366"/>
          <w:sz w:val="28"/>
        </w:rPr>
        <w:t>DAFTAR ISI</w:t>
      </w:r>
    </w:p>
    <w:p>
      <w:pPr>
        <w:spacing w:before="40" w:after="40"/>
      </w:pPr>
    </w:p>
    <w:p>
      <w:pPr>
        <w:spacing w:line="360" w:lineRule="exact"/>
      </w:pPr>
      <w:r>
        <w:rPr>
          <w:rFonts w:ascii="Calibri" w:hAnsi="Calibri"/>
          <w:b/>
          <w:sz w:val="22"/>
        </w:rPr>
        <w:t>BAB I</w:t>
        <w:tab/>
        <w:t>PENDAHULUAN</w:t>
      </w:r>
    </w:p>
    <w:p>
      <w:pPr>
        <w:spacing w:line="360" w:lineRule="exact"/>
      </w:pPr>
      <w:r>
        <w:rPr>
          <w:rFonts w:ascii="Calibri" w:hAnsi="Calibri"/>
          <w:b/>
          <w:sz w:val="22"/>
        </w:rPr>
        <w:t>BAB II</w:t>
        <w:tab/>
        <w:t>PROFIL PERUSAHAAN</w:t>
      </w:r>
    </w:p>
    <w:p>
      <w:pPr>
        <w:spacing w:line="360" w:lineRule="exact"/>
      </w:pPr>
      <w:r>
        <w:rPr>
          <w:rFonts w:ascii="Calibri" w:hAnsi="Calibri"/>
          <w:b/>
          <w:sz w:val="22"/>
        </w:rPr>
        <w:t>BAB III</w:t>
        <w:tab/>
        <w:t>SISTEM MANAJEMEN MUTU &amp; KPI</w:t>
      </w:r>
    </w:p>
    <w:p>
      <w:pPr>
        <w:spacing w:line="360" w:lineRule="exact"/>
      </w:pPr>
      <w:r>
        <w:rPr>
          <w:rFonts w:ascii="Calibri" w:hAnsi="Calibri"/>
          <w:b/>
          <w:sz w:val="22"/>
        </w:rPr>
        <w:t>BAB IV</w:t>
        <w:tab/>
        <w:t>KEPEMIMPINAN DAN KOMITMEN</w:t>
      </w:r>
    </w:p>
    <w:p>
      <w:pPr>
        <w:spacing w:line="360" w:lineRule="exact"/>
      </w:pPr>
      <w:r>
        <w:rPr>
          <w:rFonts w:ascii="Calibri" w:hAnsi="Calibri"/>
          <w:b/>
          <w:sz w:val="22"/>
        </w:rPr>
        <w:t>BAB V</w:t>
        <w:tab/>
        <w:t>PERENCANAAN</w:t>
      </w:r>
    </w:p>
    <w:p>
      <w:pPr>
        <w:spacing w:line="360" w:lineRule="exact"/>
      </w:pPr>
      <w:r>
        <w:rPr>
          <w:rFonts w:ascii="Calibri" w:hAnsi="Calibri"/>
          <w:b/>
          <w:sz w:val="22"/>
        </w:rPr>
        <w:t>BAB VI</w:t>
        <w:tab/>
        <w:t>DUKUNGAN</w:t>
      </w:r>
    </w:p>
    <w:p>
      <w:pPr>
        <w:spacing w:line="360" w:lineRule="exact"/>
      </w:pPr>
      <w:r>
        <w:rPr>
          <w:rFonts w:ascii="Calibri" w:hAnsi="Calibri"/>
          <w:b/>
          <w:sz w:val="22"/>
        </w:rPr>
        <w:t>BAB VII</w:t>
        <w:tab/>
        <w:t>PELAKSANAAN PROSES BISNIS</w:t>
      </w:r>
    </w:p>
    <w:p>
      <w:pPr>
        <w:spacing w:line="360" w:lineRule="exact"/>
      </w:pPr>
      <w:r>
        <w:rPr>
          <w:rFonts w:ascii="Calibri" w:hAnsi="Calibri"/>
          <w:b/>
          <w:sz w:val="22"/>
        </w:rPr>
        <w:t>BAB VIII</w:t>
        <w:tab/>
        <w:t>EVALUASI KINERJA</w:t>
      </w:r>
    </w:p>
    <w:p>
      <w:pPr>
        <w:spacing w:line="360" w:lineRule="exact"/>
      </w:pPr>
      <w:r>
        <w:rPr>
          <w:rFonts w:ascii="Calibri" w:hAnsi="Calibri"/>
          <w:b/>
          <w:sz w:val="22"/>
        </w:rPr>
        <w:t>BAB IX</w:t>
        <w:tab/>
        <w:t>PENINGKATAN BERKELANJUTAN</w:t>
      </w:r>
    </w:p>
    <w:p>
      <w:pPr>
        <w:spacing w:line="360" w:lineRule="exact"/>
      </w:pPr>
      <w:r>
        <w:rPr>
          <w:rFonts w:ascii="Calibri" w:hAnsi="Calibri"/>
          <w:b/>
          <w:sz w:val="22"/>
        </w:rPr>
        <w:t>LAMPIRAN</w:t>
        <w:tab/>
        <w:t>SOP-01 s/d SOP-14</w:t>
      </w:r>
    </w:p>
    <w:p>
      <w:pPr>
        <w:spacing w:line="360" w:lineRule="exact"/>
      </w:pPr>
      <w:r>
        <w:rPr>
          <w:rFonts w:ascii="Calibri" w:hAnsi="Calibri"/>
          <w:b/>
          <w:sz w:val="22"/>
        </w:rPr>
        <w:t>SKEMA</w:t>
        <w:tab/>
        <w:t>REWARD &amp; PENGHARGAAN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6"/>
        </w:rPr>
        <w:t>BAB I — PENDAHULUAN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1.1  Latar Belakang</w:t>
      </w:r>
    </w:p>
    <w:p>
      <w:pPr>
        <w:spacing w:line="360" w:lineRule="exact" w:after="80"/>
        <w:jc w:val="both"/>
      </w:pPr>
      <w:r>
        <w:rPr>
          <w:rFonts w:ascii="Calibri" w:hAnsi="Calibri"/>
          <w:sz w:val="22"/>
        </w:rPr>
        <w:t>PT. Mitsindo Visual Pratama (MVP) adalah perusahaan penyedia jasa dan produk Audio-Visual yang didirikan pada tahun 2005. Dengan pengalaman lebih dari 20 tahun dan lebih dari 200 instalasi untuk 100+ klien korporat, MVP melayani pasar B2B dan B2G di seluruh Indonesia. Tahun 2026 merupakan Fase Penataan Kembali (Restrukturisasi), di mana dokumen QMS ini disusun berdasarkan ISO 9001:2015 sebagai acuan operasional.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1.2  Tujuan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Menetapkan kerangka kerja QMS sesuai ISO 9001:2015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Menjamin konsistensi kualitas produk dan layanan AV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Meningkatkan kepuasan pelanggan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Menyediakan acuan operasional bagi seluruh unit kerja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Mendukung peningkatan berkelanjutan (PDCA)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1.3  Ruang Lingkup</w:t>
      </w:r>
    </w:p>
    <w:p>
      <w:pPr>
        <w:spacing w:line="360" w:lineRule="exact" w:after="80"/>
        <w:jc w:val="both"/>
      </w:pPr>
      <w:r>
        <w:rPr>
          <w:rFonts w:ascii="Calibri" w:hAnsi="Calibri"/>
          <w:sz w:val="22"/>
        </w:rPr>
        <w:t>Berlaku untuk seluruh kegiatan operasional MVP dari penerimaan order hingga layanan purna jual.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1.4  Referensi Normatif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ISO 9001:2015 — Quality Management Systems — Requirements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ISO 9000:2015 — Quality Management Systems — Fundamentals and Vocabulary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Peraturan Perundang-undangan Republik Indonesia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1.5  Istilah dan Definisi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Singkatan</w:t>
            </w:r>
          </w:p>
        </w:tc>
        <w:tc>
          <w:tcPr>
            <w:tcW w:type="dxa" w:w="456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Definisi</w:t>
            </w:r>
          </w:p>
        </w:tc>
      </w:tr>
      <w:tr>
        <w:tc>
          <w:tcPr>
            <w:tcW w:type="dxa" w:w="456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QMS</w:t>
            </w:r>
          </w:p>
        </w:tc>
        <w:tc>
          <w:tcPr>
            <w:tcW w:type="dxa" w:w="456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Quality Management System</w:t>
            </w:r>
          </w:p>
        </w:tc>
      </w:tr>
      <w:tr>
        <w:tc>
          <w:tcPr>
            <w:tcW w:type="dxa" w:w="456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NCR</w:t>
            </w:r>
          </w:p>
        </w:tc>
        <w:tc>
          <w:tcPr>
            <w:tcW w:type="dxa" w:w="456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Non-Conformity Report</w:t>
            </w:r>
          </w:p>
        </w:tc>
      </w:tr>
      <w:tr>
        <w:tc>
          <w:tcPr>
            <w:tcW w:type="dxa" w:w="456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CAPA</w:t>
            </w:r>
          </w:p>
        </w:tc>
        <w:tc>
          <w:tcPr>
            <w:tcW w:type="dxa" w:w="456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Corrective and Preventive Action</w:t>
            </w:r>
          </w:p>
        </w:tc>
      </w:tr>
      <w:tr>
        <w:tc>
          <w:tcPr>
            <w:tcW w:type="dxa" w:w="456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AV</w:t>
            </w:r>
          </w:p>
        </w:tc>
        <w:tc>
          <w:tcPr>
            <w:tcW w:type="dxa" w:w="456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Audio Visual</w:t>
            </w:r>
          </w:p>
        </w:tc>
      </w:tr>
      <w:tr>
        <w:tc>
          <w:tcPr>
            <w:tcW w:type="dxa" w:w="456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SI</w:t>
            </w:r>
          </w:p>
        </w:tc>
        <w:tc>
          <w:tcPr>
            <w:tcW w:type="dxa" w:w="456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System Integrator</w:t>
            </w:r>
          </w:p>
        </w:tc>
      </w:tr>
      <w:tr>
        <w:tc>
          <w:tcPr>
            <w:tcW w:type="dxa" w:w="456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SLA</w:t>
            </w:r>
          </w:p>
        </w:tc>
        <w:tc>
          <w:tcPr>
            <w:tcW w:type="dxa" w:w="456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Service Level Agreement</w:t>
            </w:r>
          </w:p>
        </w:tc>
      </w:tr>
      <w:tr>
        <w:tc>
          <w:tcPr>
            <w:tcW w:type="dxa" w:w="456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PDCA</w:t>
            </w:r>
          </w:p>
        </w:tc>
        <w:tc>
          <w:tcPr>
            <w:tcW w:type="dxa" w:w="456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Plan-Do-Check-Act</w:t>
            </w:r>
          </w:p>
        </w:tc>
      </w:tr>
      <w:tr>
        <w:tc>
          <w:tcPr>
            <w:tcW w:type="dxa" w:w="456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KPI</w:t>
            </w:r>
          </w:p>
        </w:tc>
        <w:tc>
          <w:tcPr>
            <w:tcW w:type="dxa" w:w="456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Key Performance Indicator</w:t>
            </w:r>
          </w:p>
        </w:tc>
      </w:tr>
      <w:tr>
        <w:tc>
          <w:tcPr>
            <w:tcW w:type="dxa" w:w="456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TKDN</w:t>
            </w:r>
          </w:p>
        </w:tc>
        <w:tc>
          <w:tcPr>
            <w:tcW w:type="dxa" w:w="456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Tingkat Komponen Dalam Negeri</w:t>
            </w:r>
          </w:p>
        </w:tc>
      </w:tr>
      <w:tr>
        <w:tc>
          <w:tcPr>
            <w:tcW w:type="dxa" w:w="456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B2B</w:t>
            </w:r>
          </w:p>
        </w:tc>
        <w:tc>
          <w:tcPr>
            <w:tcW w:type="dxa" w:w="456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Business to Business</w:t>
            </w:r>
          </w:p>
        </w:tc>
      </w:tr>
      <w:tr>
        <w:tc>
          <w:tcPr>
            <w:tcW w:type="dxa" w:w="456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B2G</w:t>
            </w:r>
          </w:p>
        </w:tc>
        <w:tc>
          <w:tcPr>
            <w:tcW w:type="dxa" w:w="456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Business to Government</w:t>
            </w:r>
          </w:p>
        </w:tc>
      </w:tr>
    </w:tbl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6"/>
        </w:rPr>
        <w:t>BAB II — PROFIL PERUSAHAAN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2.1  Identitas Perusahaan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456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Keterangan</w:t>
            </w:r>
          </w:p>
        </w:tc>
      </w:tr>
      <w:tr>
        <w:tc>
          <w:tcPr>
            <w:tcW w:type="dxa" w:w="456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Nama Perusahaan</w:t>
            </w:r>
          </w:p>
        </w:tc>
        <w:tc>
          <w:tcPr>
            <w:tcW w:type="dxa" w:w="456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PT. Mitsindo Visual Pratama (MVP)</w:t>
            </w:r>
          </w:p>
        </w:tc>
      </w:tr>
      <w:tr>
        <w:tc>
          <w:tcPr>
            <w:tcW w:type="dxa" w:w="456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Tahun Berdiri</w:t>
            </w:r>
          </w:p>
        </w:tc>
        <w:tc>
          <w:tcPr>
            <w:tcW w:type="dxa" w:w="456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2005 (Inkorporasi: 28 Juni 2005)</w:t>
            </w:r>
          </w:p>
        </w:tc>
      </w:tr>
      <w:tr>
        <w:tc>
          <w:tcPr>
            <w:tcW w:type="dxa" w:w="456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Bidang Usaha</w:t>
            </w:r>
          </w:p>
        </w:tc>
        <w:tc>
          <w:tcPr>
            <w:tcW w:type="dxa" w:w="456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Audio Visual System Integrator &amp; IT Solutions</w:t>
            </w:r>
          </w:p>
        </w:tc>
      </w:tr>
      <w:tr>
        <w:tc>
          <w:tcPr>
            <w:tcW w:type="dxa" w:w="456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Merek Dagang</w:t>
            </w:r>
          </w:p>
        </w:tc>
        <w:tc>
          <w:tcPr>
            <w:tcW w:type="dxa" w:w="456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Belyst — Professional Audio Visual Solutions</w:t>
            </w:r>
          </w:p>
        </w:tc>
      </w:tr>
      <w:tr>
        <w:tc>
          <w:tcPr>
            <w:tcW w:type="dxa" w:w="456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Kantor Pusat</w:t>
            </w:r>
          </w:p>
        </w:tc>
        <w:tc>
          <w:tcPr>
            <w:tcW w:type="dxa" w:w="456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Rukan Puri Delta Mas Blok I No.46-47, Jakarta Utara 14450</w:t>
            </w:r>
          </w:p>
        </w:tc>
      </w:tr>
      <w:tr>
        <w:tc>
          <w:tcPr>
            <w:tcW w:type="dxa" w:w="456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Telepon</w:t>
            </w:r>
          </w:p>
        </w:tc>
        <w:tc>
          <w:tcPr>
            <w:tcW w:type="dxa" w:w="456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+6221 668 0223, 668 2033</w:t>
            </w:r>
          </w:p>
        </w:tc>
      </w:tr>
      <w:tr>
        <w:tc>
          <w:tcPr>
            <w:tcW w:type="dxa" w:w="456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Fax</w:t>
            </w:r>
          </w:p>
        </w:tc>
        <w:tc>
          <w:tcPr>
            <w:tcW w:type="dxa" w:w="456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+6221 668 5110</w:t>
            </w:r>
          </w:p>
        </w:tc>
      </w:tr>
      <w:tr>
        <w:tc>
          <w:tcPr>
            <w:tcW w:type="dxa" w:w="456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Email</w:t>
            </w:r>
          </w:p>
        </w:tc>
        <w:tc>
          <w:tcPr>
            <w:tcW w:type="dxa" w:w="456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sales@mitsindo.co.id</w:t>
            </w:r>
          </w:p>
        </w:tc>
      </w:tr>
      <w:tr>
        <w:tc>
          <w:tcPr>
            <w:tcW w:type="dxa" w:w="456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Website</w:t>
            </w:r>
          </w:p>
        </w:tc>
        <w:tc>
          <w:tcPr>
            <w:tcW w:type="dxa" w:w="456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www.mitsindo.co.id | www.eling.co.id</w:t>
            </w:r>
          </w:p>
        </w:tc>
      </w:tr>
      <w:tr>
        <w:tc>
          <w:tcPr>
            <w:tcW w:type="dxa" w:w="456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Instagram</w:t>
            </w:r>
          </w:p>
        </w:tc>
        <w:tc>
          <w:tcPr>
            <w:tcW w:type="dxa" w:w="456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@belyst.co.id</w:t>
            </w:r>
          </w:p>
        </w:tc>
      </w:tr>
      <w:tr>
        <w:tc>
          <w:tcPr>
            <w:tcW w:type="dxa" w:w="456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YouTube</w:t>
            </w:r>
          </w:p>
        </w:tc>
        <w:tc>
          <w:tcPr>
            <w:tcW w:type="dxa" w:w="456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@belystvideowall</w:t>
            </w:r>
          </w:p>
        </w:tc>
      </w:tr>
      <w:tr>
        <w:tc>
          <w:tcPr>
            <w:tcW w:type="dxa" w:w="456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Jam Operasional</w:t>
            </w:r>
          </w:p>
        </w:tc>
        <w:tc>
          <w:tcPr>
            <w:tcW w:type="dxa" w:w="456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Senin — Jumat: 08.00 — 17.00 WIB</w:t>
            </w:r>
          </w:p>
        </w:tc>
      </w:tr>
      <w:tr>
        <w:tc>
          <w:tcPr>
            <w:tcW w:type="dxa" w:w="456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Jumlah Karyawan</w:t>
            </w:r>
          </w:p>
        </w:tc>
        <w:tc>
          <w:tcPr>
            <w:tcW w:type="dxa" w:w="456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11 — 50 orang</w:t>
            </w:r>
          </w:p>
        </w:tc>
      </w:tr>
      <w:tr>
        <w:tc>
          <w:tcPr>
            <w:tcW w:type="dxa" w:w="456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Target Pasar</w:t>
            </w:r>
          </w:p>
        </w:tc>
        <w:tc>
          <w:tcPr>
            <w:tcW w:type="dxa" w:w="456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B2B &amp; B2G</w:t>
            </w:r>
          </w:p>
        </w:tc>
      </w:tr>
    </w:tbl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2.2  Visi dan Misi</w:t>
      </w: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Visi: "Menjadi pemimpin pasar solusi Audio Visual terintegrasi di Indonesia yang terpercaya dan inovatif."</w:t>
      </w:r>
    </w:p>
    <w:p>
      <w:pPr>
        <w:spacing w:before="40" w:after="40"/>
      </w:pP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Misi: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Memberikan solusi AV design &amp; build berkualitas tinggi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Menyediakan layanan purna jual dan garansi resmi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Mengembangkan teknologi terbaru AV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Membangun kemitraan jangka panjang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Menerapkan QMS berstandar internasional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2.3  Bidang Usaha dan Layanan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Layanan</w:t>
            </w:r>
          </w:p>
        </w:tc>
        <w:tc>
          <w:tcPr>
            <w:tcW w:type="dxa" w:w="456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Keterangan</w:t>
            </w:r>
          </w:p>
        </w:tc>
      </w:tr>
      <w:tr>
        <w:tc>
          <w:tcPr>
            <w:tcW w:type="dxa" w:w="456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Video Wall &amp; Processors</w:t>
            </w:r>
          </w:p>
        </w:tc>
        <w:tc>
          <w:tcPr>
            <w:tcW w:type="dxa" w:w="456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Layar bezel-less untuk Command Center, NOC</w:t>
            </w:r>
          </w:p>
        </w:tc>
      </w:tr>
      <w:tr>
        <w:tc>
          <w:tcPr>
            <w:tcW w:type="dxa" w:w="456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LED Videotron</w:t>
            </w:r>
          </w:p>
        </w:tc>
        <w:tc>
          <w:tcPr>
            <w:tcW w:type="dxa" w:w="456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Indoor &amp; Outdoor skala besar</w:t>
            </w:r>
          </w:p>
        </w:tc>
      </w:tr>
      <w:tr>
        <w:tc>
          <w:tcPr>
            <w:tcW w:type="dxa" w:w="456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Interactive Flat Panel</w:t>
            </w:r>
          </w:p>
        </w:tc>
        <w:tc>
          <w:tcPr>
            <w:tcW w:type="dxa" w:w="456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Layar sentuh 4K untuk meeting/boardroom</w:t>
            </w:r>
          </w:p>
        </w:tc>
      </w:tr>
      <w:tr>
        <w:tc>
          <w:tcPr>
            <w:tcW w:type="dxa" w:w="456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System Integration</w:t>
            </w:r>
          </w:p>
        </w:tc>
        <w:tc>
          <w:tcPr>
            <w:tcW w:type="dxa" w:w="456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Desain &amp; integrasi sistem AV menyeluruh</w:t>
            </w:r>
          </w:p>
        </w:tc>
      </w:tr>
      <w:tr>
        <w:tc>
          <w:tcPr>
            <w:tcW w:type="dxa" w:w="456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Smart Control System</w:t>
            </w:r>
          </w:p>
        </w:tc>
        <w:tc>
          <w:tcPr>
            <w:tcW w:type="dxa" w:w="456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Otomasi ruangan (Crestron/AMX/Extron)</w:t>
            </w:r>
          </w:p>
        </w:tc>
      </w:tr>
      <w:tr>
        <w:tc>
          <w:tcPr>
            <w:tcW w:type="dxa" w:w="456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AI Hardware &amp; Software</w:t>
            </w:r>
          </w:p>
        </w:tc>
        <w:tc>
          <w:tcPr>
            <w:tcW w:type="dxa" w:w="456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Solusi berbasis kecerdasan buatan</w:t>
            </w:r>
          </w:p>
        </w:tc>
      </w:tr>
      <w:tr>
        <w:tc>
          <w:tcPr>
            <w:tcW w:type="dxa" w:w="456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Extender &amp; Switcher</w:t>
            </w:r>
          </w:p>
        </w:tc>
        <w:tc>
          <w:tcPr>
            <w:tcW w:type="dxa" w:w="456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Distribusi sinyal AV jarak jauh</w:t>
            </w:r>
          </w:p>
        </w:tc>
      </w:tr>
      <w:tr>
        <w:tc>
          <w:tcPr>
            <w:tcW w:type="dxa" w:w="456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Smart Film Screen</w:t>
            </w:r>
          </w:p>
        </w:tc>
        <w:tc>
          <w:tcPr>
            <w:tcW w:type="dxa" w:w="456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Layar film pintar privasi dinamis</w:t>
            </w:r>
          </w:p>
        </w:tc>
      </w:tr>
      <w:tr>
        <w:tc>
          <w:tcPr>
            <w:tcW w:type="dxa" w:w="456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Layanan Purna Jual</w:t>
            </w:r>
          </w:p>
        </w:tc>
        <w:tc>
          <w:tcPr>
            <w:tcW w:type="dxa" w:w="456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Garansi, maintenance, support 24/7, training</w:t>
            </w:r>
          </w:p>
        </w:tc>
      </w:tr>
    </w:tbl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2.4  Struktur Organisasi MVP 2026 (V.01 Resmi)</w:t>
      </w:r>
    </w:p>
    <w:p>
      <w:pPr>
        <w:spacing w:line="360" w:lineRule="exact" w:after="80"/>
        <w:jc w:val="both"/>
      </w:pPr>
      <w:r>
        <w:rPr>
          <w:rFonts w:ascii="Calibri" w:hAnsi="Calibri"/>
          <w:sz w:val="22"/>
        </w:rPr>
        <w:t>Struktur organisasi sesuai dokumen yang telah disahkan:</w:t>
      </w:r>
    </w:p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Jabatan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Nama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Bagian / Departemen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Komisaris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Slamet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Dewan Komisaris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Komisaris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Willung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Dewan Komisaris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Sekretaris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Annisa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Support Komisaris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Direktur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William Hosea Eko Putro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Direksi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GA (General Affairs)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Andreas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General Affairs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 xml:space="preserve">  Staf GA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Atwan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General Affairs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Head Accounting &amp; Finance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Wina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Accounting &amp; Finance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Head Finance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Mei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Finance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 xml:space="preserve">  Staf Penjualan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Ravena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Finance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 xml:space="preserve">  Staf Kasir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Kristin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Finance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 xml:space="preserve">  Staf Purchasing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Agnes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Finance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 xml:space="preserve">  Staf Accounting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Agnes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Accounting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Government Sales Manager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Lina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Sales Government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 xml:space="preserve">  Sales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Arief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Sales Government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 xml:space="preserve">  Sales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Jefferson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Sales Government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 xml:space="preserve">  Sales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Bagus Juono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Sales Government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 xml:space="preserve">  Sales Support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Arvina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Sales Government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Corporate Sales Manager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Meitilien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Sales Corporate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 xml:space="preserve">  Sales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Edwin Yahya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Sales Corporate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 xml:space="preserve">  Sales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Ekky Muhammad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Sales Corporate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 xml:space="preserve">  Sales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Rendy Mahardika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Sales Corporate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Manager Development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Andi Saputra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Development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 xml:space="preserve">  Presales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Gilang Ramadhan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Development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 xml:space="preserve">  Digital Marketing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Sedni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Development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Head Warehouse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Sugeng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Warehouse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 xml:space="preserve">  Staf Gudang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Joko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Warehouse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 xml:space="preserve">  Staf Gudang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Yusuf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Warehouse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 xml:space="preserve">  Staf Gudang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Sureha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Warehouse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Teknis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Rahman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Technical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Teknis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Willy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Technical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Teknis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Irvan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Technical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Supir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Iwan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Logistics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Supir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Jeni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Logistics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Supir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Furqon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Logistics</w:t>
            </w:r>
          </w:p>
        </w:tc>
      </w:tr>
    </w:tbl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2.5  Pihak Berkepentingan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Pihak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Kepentingan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Tingkat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Pelanggan B2B/B2G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Kualitas instalasi, ketepatan waktu, garansi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Sangat Tinggi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Karyawan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Kesejahteraan, pengembangan karir, K3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Sangat Tinggi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Vendor/Supplier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Pembayaran tepat waktu, hubungan jangka panjang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Tinggi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Pemerintah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Kepatuhan regulasi, perizinan, pajak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Sangat Tinggi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Pemegang Saham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Profitabilitas, pertumbuhan bisnis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Sangat Tinggi</w:t>
            </w:r>
          </w:p>
        </w:tc>
      </w:tr>
    </w:tbl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6"/>
        </w:rPr>
        <w:t>BAB III — SISTEM MANAJEMEN MUTU &amp; KPI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3.1  Kebijakan Mutu</w:t>
      </w:r>
    </w:p>
    <w:p>
      <w:pPr>
        <w:spacing w:line="360" w:lineRule="exact" w:after="80"/>
        <w:jc w:val="both"/>
      </w:pPr>
      <w:r>
        <w:rPr>
          <w:rFonts w:ascii="Calibri" w:hAnsi="Calibri"/>
          <w:sz w:val="22"/>
        </w:rPr>
        <w:t>"Komitmen Kami: Menyediakan solusi Audio Visual terintegrasi berkualitas tinggi dengan layanan terbaik, tepat waktu, dan berkelanjutan demi kepuasan pelanggan."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3.2  Tujuan Mutu (KPI 2026 — Fase Transisi)</w:t>
      </w: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Skala Penilaian: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Skala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Kategori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Pencapaian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Sangat Kurang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Di bawah 50%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Kurang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50% — 69%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Memenuhi Harapan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70% — 85%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Baik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86% — 100%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Sangat Baik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Di atas 100%</w:t>
            </w:r>
          </w:p>
        </w:tc>
      </w:tr>
    </w:tbl>
    <w:p>
      <w:pPr>
        <w:spacing w:before="40" w:after="40"/>
      </w:pP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A.  Direktur — William Hosea Eko Putro: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KPI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Target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Bobot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Pertumbuhan Pendapatan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Sesuai RUPS (Toleransi 80%)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40%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Profitabilitas (NPM)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Tercapai target margin minimal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20%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Efisiensi Biaya Operasional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Batas Opex deviasi 5%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20%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Pipeline Direktur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Minimal 5 pipeline, 10% revenue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10%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Penyelesaian Formasi SDM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Struktur terisi &amp; beroperasi 90%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10%</w:t>
            </w:r>
          </w:p>
        </w:tc>
      </w:tr>
    </w:tbl>
    <w:p>
      <w:pPr>
        <w:spacing w:before="40" w:after="40"/>
      </w:pP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B.  Head Accounting &amp; Finance (Wina) &amp; Head Finance (Mei):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KPI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Target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Bobot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Akurasi Laporan Keuangan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Akurasi 95%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30%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Ketepatan Waktu Pelaporan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Tanggal 15 bulan berikutnya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25%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Days Sales Outstanding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Term of Payment + 7 Hari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25%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Efisiensi Cash Flow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Operasional penting terbayar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20%</w:t>
            </w:r>
          </w:p>
        </w:tc>
      </w:tr>
    </w:tbl>
    <w:p>
      <w:pPr>
        <w:spacing w:before="40" w:after="40"/>
      </w:pP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C.  Government Sales Manager — Lina: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KPI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Target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Bobot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Pencapaian Target Pendapatan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Minimal 75% target kuartalan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35%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Kunjungan Pipeline Baru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Minimal 15 pipeline/minggu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25%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Conversion Rate Pipeline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Minimal 20% leads terkonversi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15%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Retensi &amp; Repeat Order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Minimal 1-2/kuartal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15%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Pengetahuan Produk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Lulus evaluasi internal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10%</w:t>
            </w:r>
          </w:p>
        </w:tc>
      </w:tr>
    </w:tbl>
    <w:p>
      <w:pPr>
        <w:spacing w:before="40" w:after="40"/>
      </w:pP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D.  Corporate Sales Manager — Meitilien: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KPI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Target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Bobot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Pencapaian Target Pendapatan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Minimal 75% target kuartalan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35%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Kunjungan Pipeline Baru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Minimal 15 pipeline/minggu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25%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Conversion Rate Pipeline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Minimal 20% leads terkonversi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15%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Retensi &amp; Repeat Order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Minimal 1-2/kuartal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15%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Pengetahuan Produk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Lulus evaluasi internal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10%</w:t>
            </w:r>
          </w:p>
        </w:tc>
      </w:tr>
    </w:tbl>
    <w:p>
      <w:pPr>
        <w:spacing w:before="40" w:after="40"/>
      </w:pP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E.  Manager Development — Andi Saputra (Presales &amp; Digital Marketing):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KPI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Target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Bobot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Rasio Dukungan Kemenangan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25-30% Win Rate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20%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Akurasi Desain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0% error tolerance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20%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Follower Media Sosial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30 followers baru/bulan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15%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Video Aktivitas &amp; Produk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Minimal 5 video/bulan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15%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SLA Penyusunan Desain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90% on-time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15%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Lead Generation &amp; Digital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Aset digital rapi &amp; leads awal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15%</w:t>
            </w:r>
          </w:p>
        </w:tc>
      </w:tr>
    </w:tbl>
    <w:p>
      <w:pPr>
        <w:spacing w:before="40" w:after="40"/>
      </w:pP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F.  Tim Teknis (Rahman, Willy, Irvan):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KPI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Target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Bobot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SLA Penyelesaian Instalasi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Tercapai 90%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35%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Tingkat Recall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Maksimal 5%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30%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Kecepatan Respon Troubleshooting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Maks 1 jam (kerja) / 3 jam (luar)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25%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Kerapihan &amp; Pelaporan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Konsistensi 90%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10%</w:t>
            </w:r>
          </w:p>
        </w:tc>
      </w:tr>
    </w:tbl>
    <w:p>
      <w:pPr>
        <w:spacing w:before="40" w:after="40"/>
      </w:pP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G.  Head Warehouse — Sugeng: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KPI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Target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Bobot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Akurasi Inventory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Akurasi 95%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50%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SLA Pemrosesan &amp; Pengiriman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90% tepat waktu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30%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Penataan Gudang (5R)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Perbaikan tata letak &amp; pelabelan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10%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Pemeliharaan Armada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Minim keluhan, surat jalan lengkap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10%</w:t>
            </w:r>
          </w:p>
        </w:tc>
      </w:tr>
    </w:tbl>
    <w:p>
      <w:pPr>
        <w:spacing w:before="40" w:after="40"/>
      </w:pP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H.  General Affairs — Andreas: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KPI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Target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Bobot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TKDN Proses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Maksimal 150 hari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40%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Perawatan Gedung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Respon hari yang sama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25%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Pengadaan &amp; Supplier Lokal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Minimal 3 vendor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15%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Manajemen SDM &amp; Operasional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Progres arsip tiap bulan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10%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Respon Perbaikan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&lt;12 jam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10%</w:t>
            </w:r>
          </w:p>
        </w:tc>
      </w:tr>
    </w:tbl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6"/>
        </w:rPr>
        <w:t>BAB IV — KEPEMIMPINAN DAN KOMITMEN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4.1  Peran Direksi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Menjamin efektivitas QMS sesuai ISO 9001:2015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Memastikan pencapaian tujuan mutu (KPI)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Mendukung peningkatan berkelanjutan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Menyediakan sumber daya untuk implementasi QMS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Mempertahankan pipeline aktif untuk pertumbuhan revenue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4.2  Tanggung Jawab dan Otoritas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Jabatan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Tanggung Jawab QMS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Otoritas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Komisaris (Slamet, Willung)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Pengawasan strategis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Approval kebijakan mutu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Direktur (William)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Kebijakan mutu, tinjauan manajemen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Keputusan strategis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GA (Andreas)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Fasilitas, administrasi umum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Approval GA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Head Acct &amp; Finance (Wina)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Akurasi laporan keuangan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Approval akuntansi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Head Finance (Mei)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Cash flow, purchasing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Approval keuangan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Govt Sales Mgr (Lina)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Target pendapatan govt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Approval penawaran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Corp Sales Mgr (Meitilien)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Target pendapatan korporat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Approval penawaran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Manager Dev (Andi Saputra)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Desain, presales, digital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Approval teknis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Head Warehouse (Sugeng)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Inventory, logistik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Pengawasan gudang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Tim Teknis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Instalasi, troubleshooting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Pengawasan lapangan</w:t>
            </w:r>
          </w:p>
        </w:tc>
      </w:tr>
    </w:tbl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6"/>
        </w:rPr>
        <w:t>BAB V — PERENCANAAN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5.1  Analisis Risiko dan Peluang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Risiko/Peluang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Kategori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Mitigasi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Keterlambatan pengiriman vendor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Risiko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Order lebih awal, vendor alternatif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Gagalnya sistem setelah instalasi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Risiko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Testing menyeluruh, checklist QC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Kekurangan teknisi bersertifikat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Risiko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Program pelatihan, rekrutmen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Tingginya permintaan proyek AV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Peluang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Ekspansi tim, partnership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Perkembangan teknologi AV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Peluang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R&amp;D, sertifikasi vendor</w:t>
            </w:r>
          </w:p>
        </w:tc>
      </w:tr>
    </w:tbl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5.2  Perencanaan Tujuan Mutu</w:t>
      </w:r>
    </w:p>
    <w:p>
      <w:pPr>
        <w:spacing w:line="360" w:lineRule="exact" w:after="80"/>
        <w:jc w:val="both"/>
      </w:pPr>
      <w:r>
        <w:rPr>
          <w:rFonts w:ascii="Calibri" w:hAnsi="Calibri"/>
          <w:sz w:val="22"/>
        </w:rPr>
        <w:t>Tujuan mutu direncanakan berdasarkan analisis risiko dan sesuai Buku Panduan KPI 2026 Fase Transisi dengan indikator, target, dan jangka waktu yang terukur.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6"/>
        </w:rPr>
        <w:t>BAB VI — DUKUNGAN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6.1  Sumber Daya Manusia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Analisis kebutuhan kompetensi berdasarkan struktur organisasi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Rekrutmen dan seleksi yang terstandarisasi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Orientasi dan induksi bagi karyawan baru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Program pelatihan dan sertifikasi vendor (Crestron, AMX, Extron)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Evaluasi kinerja berdasarkan KPI 2026 Fase Transisi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Pencatatan kompetensi dan riwayat pelatihan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6.2  Infrastruktur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Kantor pusat: Rukan Puri Delta Mas Blok I No.46-47, Jakarta Utara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Workshop dan gudang penyimpanan peralatan AV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Peralatan kerja teknisi (tools, measurement instruments)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Sistem IT dan jaringan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Kendaraan operasional (Supir: Iwan, Jeni, Furqon)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6.3  Pengawasan Dokumen dan Catatan</w:t>
      </w:r>
    </w:p>
    <w:p>
      <w:pPr>
        <w:spacing w:line="360" w:lineRule="exact" w:after="80"/>
        <w:jc w:val="both"/>
      </w:pPr>
      <w:r>
        <w:rPr>
          <w:rFonts w:ascii="Calibri" w:hAnsi="Calibri"/>
          <w:sz w:val="22"/>
        </w:rPr>
        <w:t>Hierarki dokumen QMS: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Tingkat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Jenis Dokumen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Contoh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Tingkat 1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Manual QMS &amp; Kebijakan Mutu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Dokumen ini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Tingkat 2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SOP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SOP-01 s/d SOP-14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Tingkat 3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Instruksi Kerja &amp; Formulir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Checklist QC, Form NCR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Tingkat 4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Catatan Pelaksanaan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Laporan proyek</w:t>
            </w:r>
          </w:p>
        </w:tc>
      </w:tr>
    </w:tbl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6"/>
        </w:rPr>
        <w:t>BAB VII — PELAKSANAAN PROSES BISNIS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7.1  Perencanaan Proyek</w:t>
      </w:r>
    </w:p>
    <w:p>
      <w:pPr>
        <w:spacing w:line="360" w:lineRule="exact" w:after="80"/>
        <w:jc w:val="both"/>
      </w:pPr>
      <w:r>
        <w:rPr>
          <w:rFonts w:ascii="Calibri" w:hAnsi="Calibri"/>
          <w:sz w:val="22"/>
        </w:rPr>
        <w:t>Setiap proyek melalui tahapan: identifikasi kebutuhan, survei lokasi, desain konsep (drawing, schematic, BOQ), pengadaan material, penjadwalan, instalasi, testing, hingga serah terima.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7.2  Proses Penjualan dan Kontrak</w:t>
      </w:r>
    </w:p>
    <w:p>
      <w:pPr>
        <w:spacing w:line="360" w:lineRule="exact" w:after="80"/>
        <w:jc w:val="both"/>
      </w:pPr>
      <w:r>
        <w:rPr>
          <w:rFonts w:ascii="Calibri" w:hAnsi="Calibri"/>
          <w:sz w:val="22"/>
        </w:rPr>
        <w:t>Tim Sales Government (Lina) dan Corporate Sales (Meitilien) bertanggung jawab atas pencapaian target pendapatan. Proses: inquiry → konsultasi → survei → penawaran → negosiasi → kontrak.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7.3  Proses Pengadaan</w:t>
      </w:r>
    </w:p>
    <w:p>
      <w:pPr>
        <w:spacing w:line="360" w:lineRule="exact" w:after="80"/>
        <w:jc w:val="both"/>
      </w:pPr>
      <w:r>
        <w:rPr>
          <w:rFonts w:ascii="Calibri" w:hAnsi="Calibri"/>
          <w:sz w:val="22"/>
        </w:rPr>
        <w:t>Dilakukan oleh Purchasing (Agnes) di bawah Head Finance (Mei). Evaluasi minimal 3 vendor dengan pertimbangan kualitas, harga, dan waktu pengiriman.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7.4  Instalasi dan Integrasi Sistem AV</w:t>
      </w:r>
    </w:p>
    <w:p>
      <w:pPr>
        <w:spacing w:line="360" w:lineRule="exact" w:after="80"/>
        <w:jc w:val="both"/>
      </w:pPr>
      <w:r>
        <w:rPr>
          <w:rFonts w:ascii="Calibri" w:hAnsi="Calibri"/>
          <w:sz w:val="22"/>
        </w:rPr>
        <w:t>Dilakukan oleh tim teknisi (Rahman, Willy, Irvan) bersertifikat. Proses: persiapan → instalasi kabel → pemasangan peralatan → konfigurasi → integrasi → testing → UAT → serah terima as-built drawing.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7.5  Layanan Purna Jual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Garansi produk resmi dari manufacturer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Maintenance berkala sesuai SLA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Technical support 24/7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Training operator bagi pelanggan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Spare parts tersedia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6"/>
        </w:rPr>
        <w:t>BAB VIII — EVALUASI KINERJA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8.1  Audit Internal</w:t>
      </w:r>
    </w:p>
    <w:p>
      <w:pPr>
        <w:spacing w:line="360" w:lineRule="exact" w:after="80"/>
        <w:jc w:val="both"/>
      </w:pPr>
      <w:r>
        <w:rPr>
          <w:rFonts w:ascii="Calibri" w:hAnsi="Calibri"/>
          <w:sz w:val="22"/>
        </w:rPr>
        <w:t>Audit internal minimal 1 kali setahun oleh auditor independen untuk memastikan kesesuaian implementasi QMS dengan ISO 9001:2015.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8.2  Tinjauan Manajemen</w:t>
      </w:r>
    </w:p>
    <w:p>
      <w:pPr>
        <w:spacing w:line="360" w:lineRule="exact" w:after="80"/>
        <w:jc w:val="both"/>
      </w:pPr>
      <w:r>
        <w:rPr>
          <w:rFonts w:ascii="Calibri" w:hAnsi="Calibri"/>
          <w:sz w:val="22"/>
        </w:rPr>
        <w:t>Tinjauan manajemen minimal 1 kali setahun oleh Direksi. Agenda: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Hasil audit internal dan eksternal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Feedback dan keluhan pelanggan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Kinerja proyek dan ketepatan waktu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Status NCR dan CAPA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Evaluasi risiko dan peluang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003366"/>
          <w:sz w:val="26"/>
        </w:rPr>
        <w:t>BAB IX — PENINGKATAN BERKELANJUTAN</w:t>
      </w:r>
    </w:p>
    <w:p>
      <w:pPr>
        <w:spacing w:line="360" w:lineRule="exact" w:after="80"/>
        <w:jc w:val="both"/>
      </w:pPr>
      <w:r>
        <w:rPr>
          <w:rFonts w:ascii="Calibri" w:hAnsi="Calibri"/>
          <w:sz w:val="22"/>
        </w:rPr>
        <w:t>Penerapan siklus PDCA: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Plan: Identifikasi peluang peningkatan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Do: Pelaksanaan tindakan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Check: Monitoring dan evaluasi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Act: Standardisasi hasil positif</w:t>
      </w:r>
    </w:p>
    <w:p>
      <w:r>
        <w:br w:type="page"/>
      </w:r>
    </w:p>
    <w:p>
      <w:pPr>
        <w:spacing w:after="120"/>
        <w:jc w:val="center"/>
      </w:pPr>
      <w:r>
        <w:rPr>
          <w:rFonts w:ascii="Calibri" w:hAnsi="Calibri"/>
          <w:b/>
          <w:color w:val="003366"/>
          <w:sz w:val="28"/>
        </w:rPr>
        <w:t>LAMPIRAN — STANDAR PROSEDUR OPERASIONAL</w:t>
      </w:r>
    </w:p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SOP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Judul</w:t>
            </w:r>
          </w:p>
        </w:tc>
        <w:tc>
          <w:tcPr>
            <w:tcW w:type="dxa" w:w="3041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Penanggung Jawab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SOP-01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Pengendalian Dokumen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Wina (Head Acct &amp; Finance)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SOP-02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Pengendalian Catatan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Wina (Head Acct &amp; Finance)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SOP-03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Audit Internal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William Hosea Eko Putro (Direktur)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SOP-04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Pengendalian Bahan Tidak Sesuai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Tim Teknis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SOP-05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Tindakan Korektif &amp; Pencegahan (CAPA)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Andi Saputra (Manager Development)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SOP-06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Tinjauan Manajemen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William Hosea Eko Putro (Direktur)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SOP-07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Pengelolaan SDM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Andreas (GA)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SOP-08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Pengelolaan Infrastruktur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Andreas (GA)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SOP-09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Pengadaan/Pembelian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Mei (Head Finance)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SOP-10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Perencanaan &amp; Pelaksanaan Proyek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Andi Saputra (Manager Development)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SOP-11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Instalasi &amp; Integrasi Sistem AV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Tim Teknis (Rahman, Willy, Irvan)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SOP-12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Kontrol Kualitas &amp; Inspeksi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Andi Saputra (Manager Development)</w:t>
            </w:r>
          </w:p>
        </w:tc>
      </w:tr>
      <w:tr>
        <w:tc>
          <w:tcPr>
            <w:tcW w:type="dxa" w:w="3041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SOP-13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Penanganan Keluhan Pelanggan</w:t>
            </w:r>
          </w:p>
        </w:tc>
        <w:tc>
          <w:tcPr>
            <w:tcW w:type="dxa" w:w="3041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Lina (Govt) / Meitilien (Corporate)</w:t>
            </w:r>
          </w:p>
        </w:tc>
      </w:tr>
      <w:tr>
        <w:tc>
          <w:tcPr>
            <w:tcW w:type="dxa" w:w="3041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SOP-14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Kalibrasi &amp; Pemeliharaan Peralatan</w:t>
            </w:r>
          </w:p>
        </w:tc>
        <w:tc>
          <w:tcPr>
            <w:tcW w:type="dxa" w:w="3041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Sugeng (Head Warehouse)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SOP-01: Pengendalian Dokumen</w:t>
      </w: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Penanggung Jawab: Wina (Head Acct &amp; Finance)</w:t>
      </w: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Prosedur: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1.  Pembuatan dokumen oleh penanggung jawab proses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2.  Review dan approval oleh otoritas yang ditunjuk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3.  Pemberian nomor dan kontrol revisi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4.  Distribusi ke unit terkait dengan pencatatan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5.  Dokumen lama ditarik dan diarsipkan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6.  Perubahan hanya melalui prosedur revisi yang sah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7.  Dokumen elektronik dikendalikan akses dan backup</w:t>
      </w:r>
    </w:p>
    <w:p>
      <w:pPr>
        <w:spacing w:before="40" w:after="40"/>
      </w:pP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SOP-02: Pengendalian Catatan</w:t>
      </w: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Penanggung Jawab: Wina (Head Acct &amp; Finance)</w:t>
      </w: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Prosedur: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1.  Setiap proses menghasilkan catatan yang diperlukan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2.  Catatan jelas, dapat dibaca, teridentifikasi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3.  Penyimpanan fisik dan/atau elektronik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4.  Pengarsipan sesuai sistem klasifikasi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5.  Masa simpan sesuai kebutuhan hukum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6.  Pemusnahan dengan persetujuan otoritas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7.  Akses dibatasi pihak berwenang</w:t>
      </w:r>
    </w:p>
    <w:p>
      <w:pPr>
        <w:spacing w:before="40" w:after="40"/>
      </w:pP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SOP-03: Audit Internal</w:t>
      </w: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Penanggung Jawab: William Hosea Eko Putro (Direktur)</w:t>
      </w: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Prosedur: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1.  Penyusunan program audit tahunan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2.  Penunjukan auditor kompeten dan independen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3.  Penyusunan rencana dan checklist audit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4.  Pelaksanaan audit sesuai rencana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5.  Pencatatan temuan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6.  Penyusunan laporan audit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7.  Pelacakan tindakan korektif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8.  Verifikasi efektivitas tindakan</w:t>
      </w:r>
    </w:p>
    <w:p>
      <w:pPr>
        <w:spacing w:before="40" w:after="40"/>
      </w:pP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SOP-04: Pengendalian Bahan Tidak Sesuai</w:t>
      </w: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Penanggung Jawab: Tim Teknis</w:t>
      </w: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Prosedur: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1.  Identifikasi barang tidak sesuai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2.  Pemberian label dan isolasi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3.  Pelaporan melalui form NCR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4.  Penilaian dampak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5.  Keputusan: rework, return, atau reject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6.  Pelaksanaan tindakan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7.  Verifikasi hasil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8.  Update dokumen dan arsip NCR</w:t>
      </w:r>
    </w:p>
    <w:p>
      <w:pPr>
        <w:spacing w:before="40" w:after="40"/>
      </w:pP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SOP-05: Tindakan Korektif &amp; Pencegahan (CAPA)</w:t>
      </w: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Penanggung Jawab: Andi Saputra (Manager Development)</w:t>
      </w: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Prosedur: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1.  Identifikasi ketidaksesuaian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2.  Analisis akar masalah (5 Why, Fishbone)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3.  Penetapan tindakan korektif/pencegahan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4.  Penanggung jawab dan jangka waktu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5.  Pelaksanaan tindakan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6.  Verifikasi efektivitas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7.  Dokumentasi CAPA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8.  Update prosedur jika diperlukan</w:t>
      </w:r>
    </w:p>
    <w:p>
      <w:pPr>
        <w:spacing w:before="40" w:after="40"/>
      </w:pP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SOP-06: Tinjauan Manajemen</w:t>
      </w: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Penanggung Jawab: William Hosea Eko Putro (Direktur)</w:t>
      </w: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Prosedur: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1.  Penyusunan agenda tinjauan manajemen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2.  Pengumpulan data dan informasi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3.  Pelaksanaan rapat tinjauan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4.  Pencatatan notulensi dan keputusan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5.  Pelacakan tindakan tindak lanjut</w:t>
      </w:r>
    </w:p>
    <w:p>
      <w:pPr>
        <w:spacing w:before="40" w:after="40"/>
      </w:pP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SOP-07: Pengelolaan SDM</w:t>
      </w: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Penanggung Jawab: Andreas (GA)</w:t>
      </w: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Prosedur: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1.  Identifikasi kebutuhan kompetensi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2.  Rekrutmen dan seleksi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3.  Orientasi dan induksi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4.  Program pelatihan berkala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5.  Evaluasi kinerja tahunan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6.  Pencatatan kompetensi</w:t>
      </w:r>
    </w:p>
    <w:p>
      <w:pPr>
        <w:spacing w:before="40" w:after="40"/>
      </w:pP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SOP-08: Pengelolaan Infrastruktur</w:t>
      </w: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Penanggung Jawab: Andreas (GA)</w:t>
      </w: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Prosedur: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1.  Pemeliharaan rutin fasilitas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2.  Perawatan peralatan berkala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3.  Pengelolaan inventaris aset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4.  Pengendalian lingkungan kerja dan K3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5.  Pencatatan pemeliharaan</w:t>
      </w:r>
    </w:p>
    <w:p>
      <w:pPr>
        <w:spacing w:before="40" w:after="40"/>
      </w:pP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SOP-09: Pengadaan/Pembelian</w:t>
      </w: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Penanggung Jawab: Mei (Head Finance)</w:t>
      </w: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Prosedur: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1.  Penerimaan permintaan pembelian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2.  Evaluasi minimal 3 supplier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3.  Pemilihan supplier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4.  Penerbitan PO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5.  Penerimaan dan inspeksi barang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6.  Verifikasi kesesuaian spesifikasi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7.  Penyimpanan ke gudang</w:t>
      </w:r>
    </w:p>
    <w:p>
      <w:pPr>
        <w:spacing w:before="40" w:after="40"/>
      </w:pP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SOP-10: Perencanaan &amp; Pelaksanaan Proyek</w:t>
      </w: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Penanggung Jawab: Andi Saputra (Manager Development)</w:t>
      </w: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Prosedur: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1.  Penerimaan dan review kontrak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2.  Identifikasi kebutuhan sumber daya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3.  Penyusunan rencana kerja dan jadwal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4.  Pengadaan material sesuai BOQ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5.  Mobilisasi tim ke lokasi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6.  Pelaksanaan instalasi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7.  QC intermediate dan final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8.  Commissioning dan testing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9.  Serah terima kepada pelanggan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10.  Dokumentasi proyek</w:t>
      </w:r>
    </w:p>
    <w:p>
      <w:pPr>
        <w:spacing w:before="40" w:after="40"/>
      </w:pP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SOP-11: Instalasi &amp; Integrasi Sistem AV</w:t>
      </w: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Penanggung Jawab: Tim Teknis (Rahman, Willy, Irvan)</w:t>
      </w: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Prosedur: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1.  Persiapan lokasi dan material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2.  Instalasi kabel dan jaringan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3.  Pemasangan peralatan AV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4.  Konfigurasi control system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5.  Integrasi komponen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6.  Testing individual dan sistem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7.  User Acceptance Testing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8.  Dokumentasi as-built drawing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9.  Penyerahan kepada pelanggan</w:t>
      </w:r>
    </w:p>
    <w:p>
      <w:pPr>
        <w:spacing w:before="40" w:after="40"/>
      </w:pP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SOP-12: Kontrol Kualitas &amp; Inspeksi</w:t>
      </w: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Penanggung Jawab: Andi Saputra (Manager Development)</w:t>
      </w: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Prosedur: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1.  Penyusunan Inspection Plan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2.  Inspeksi incoming, in-process, final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3.  Pencatatan hasil inspeksi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4.  Identifikasi ketidaksesuaian → NCR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5.  Pelacakan tindakan perbaikan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6.  Verifikasi hasil perbaikan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7.  Release setelah QC approved</w:t>
      </w:r>
    </w:p>
    <w:p>
      <w:pPr>
        <w:spacing w:before="40" w:after="40"/>
      </w:pP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SOP-13: Penanganan Keluhan Pelanggan</w:t>
      </w: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Penanggung Jawab: Lina (Govt) / Meitilien (Corporate)</w:t>
      </w: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Prosedur: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1.  Penerimaan keluhan (WhatsApp/Email/Telp)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2.  Pencatatan dalam form Customer Complaint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3.  Klasifikasi berdasarkan urgensi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4.  Investigasi dan akar masalah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5.  Penetapan tindakan penyelesaian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6.  Pelaksanaan tindakan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7.  Konfirmasi ke pelanggan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8.  Evaluasi kepuasan pasca-penyelesaian</w:t>
      </w:r>
    </w:p>
    <w:p>
      <w:pPr>
        <w:spacing w:before="40" w:after="40"/>
      </w:pPr>
    </w:p>
    <w:p>
      <w:pPr>
        <w:spacing w:before="240" w:after="120"/>
        <w:jc w:val="left"/>
      </w:pPr>
      <w:r>
        <w:rPr>
          <w:rFonts w:ascii="Calibri" w:hAnsi="Calibri"/>
          <w:b/>
          <w:color w:val="00528A"/>
          <w:sz w:val="22"/>
        </w:rPr>
        <w:t>SOP-14: Kalibrasi &amp; Pemeliharaan Peralatan</w:t>
      </w: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Penanggung Jawab: Sugeng (Head Warehouse)</w:t>
      </w:r>
    </w:p>
    <w:p>
      <w:pPr>
        <w:spacing w:line="360" w:lineRule="exact" w:after="80"/>
        <w:jc w:val="left"/>
      </w:pPr>
      <w:r>
        <w:rPr>
          <w:rFonts w:ascii="Calibri" w:hAnsi="Calibri"/>
          <w:sz w:val="22"/>
        </w:rPr>
        <w:t>Prosedur: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1.  Pencatatan inventaris peralatan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2.  Penjadwalan kalibrasi berkala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3.  Pemeliharaan preventif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4.  Pemeliharaan korektif jika rusak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5.  Pelabelan status kalibrasi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6.  Pencatatan hasil kalibrasi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7.  Penggantian peralatan tidak layak</w:t>
      </w:r>
    </w:p>
    <w:p>
      <w:pPr>
        <w:spacing w:before="40" w:after="40"/>
      </w:pPr>
    </w:p>
    <w:p>
      <w:r>
        <w:br w:type="page"/>
      </w:r>
    </w:p>
    <w:p>
      <w:pPr>
        <w:spacing w:after="120"/>
        <w:jc w:val="center"/>
      </w:pPr>
      <w:r>
        <w:rPr>
          <w:rFonts w:ascii="Calibri" w:hAnsi="Calibri"/>
          <w:b/>
          <w:color w:val="003366"/>
          <w:sz w:val="28"/>
        </w:rPr>
        <w:t>SKEMA REWARD &amp; PENGHARGAAN</w:t>
      </w:r>
    </w:p>
    <w:p>
      <w:pPr>
        <w:spacing w:before="40" w:after="40"/>
      </w:pPr>
    </w:p>
    <w:p>
      <w:pPr>
        <w:spacing w:line="360" w:lineRule="exact" w:after="80"/>
        <w:jc w:val="both"/>
      </w:pPr>
      <w:r>
        <w:rPr>
          <w:rFonts w:ascii="Calibri" w:hAnsi="Calibri"/>
          <w:sz w:val="22"/>
        </w:rPr>
        <w:t>Apresiasi bagi tim yang mencapai Skala 4-5 pada KPI: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Extra PTO: Skor KPI ≥95% selama 4 kuarter → 1 hari cuti tambahan/kontrak tahun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WFH/WFA: Sales, Digital Marketing → WFH 1 hari/bulan (persetujuan Manajer)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Sponsor Karir: Sertifikasi/pelatihan tingkat internasional (Tim Teknis, Sales, Finance)</w:t>
      </w:r>
    </w:p>
    <w:p>
      <w:pPr>
        <w:spacing w:line="360" w:lineRule="exact" w:after="40"/>
        <w:ind w:left="850"/>
        <w:jc w:val="both"/>
      </w:pPr>
      <w:r>
        <w:rPr>
          <w:rFonts w:ascii="Calibri" w:hAnsi="Calibri"/>
          <w:sz w:val="22"/>
        </w:rPr>
        <w:t>•  Employee of the Month: Sertifikat + plakat + Rp 250.000/bulan</w:t>
      </w:r>
    </w:p>
    <w:p>
      <w:r>
        <w:br w:type="page"/>
      </w:r>
    </w:p>
    <w:p>
      <w:pPr>
        <w:spacing w:after="120"/>
        <w:jc w:val="center"/>
      </w:pPr>
      <w:r>
        <w:rPr>
          <w:rFonts w:ascii="Calibri" w:hAnsi="Calibri"/>
          <w:b/>
          <w:color w:val="003366"/>
          <w:sz w:val="28"/>
        </w:rPr>
        <w:t>PENGESAHAN DOKUMEN</w:t>
      </w:r>
    </w:p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Jabatan</w:t>
            </w:r>
          </w:p>
        </w:tc>
        <w:tc>
          <w:tcPr>
            <w:tcW w:type="dxa" w:w="2280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Nama</w:t>
            </w:r>
          </w:p>
        </w:tc>
        <w:tc>
          <w:tcPr>
            <w:tcW w:type="dxa" w:w="2280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Tanda Tangan</w:t>
            </w:r>
          </w:p>
        </w:tc>
        <w:tc>
          <w:tcPr>
            <w:tcW w:type="dxa" w:w="2280"/>
            <w:shd w:fill="00336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Tanggal</w:t>
            </w:r>
          </w:p>
        </w:tc>
      </w:tr>
      <w:tr>
        <w:tc>
          <w:tcPr>
            <w:tcW w:type="dxa" w:w="2280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Disiapkan oleh</w:t>
              <w:br/>
              <w:t>(Manager Development)</w:t>
            </w:r>
          </w:p>
        </w:tc>
        <w:tc>
          <w:tcPr>
            <w:tcW w:type="dxa" w:w="2280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Andi Saputra</w:t>
            </w:r>
          </w:p>
        </w:tc>
        <w:tc>
          <w:tcPr>
            <w:tcW w:type="dxa" w:w="2280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2280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2280"/>
            <w:shd w:fill="FFFFFF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Diperiksa oleh</w:t>
              <w:br/>
              <w:t>(Direktur)</w:t>
            </w:r>
          </w:p>
        </w:tc>
        <w:tc>
          <w:tcPr>
            <w:tcW w:type="dxa" w:w="2280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William Hosea Eko Putro</w:t>
            </w:r>
          </w:p>
        </w:tc>
        <w:tc>
          <w:tcPr>
            <w:tcW w:type="dxa" w:w="2280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2280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</w:r>
          </w:p>
        </w:tc>
      </w:tr>
      <w:tr>
        <w:tc>
          <w:tcPr>
            <w:tcW w:type="dxa" w:w="2280"/>
            <w:shd w:fill="F2F7FB"/>
          </w:tcPr>
          <w:p>
            <w:pPr>
              <w:jc w:val="left"/>
            </w:pPr>
            <w:r/>
            <w:r>
              <w:rPr>
                <w:rFonts w:ascii="Calibri" w:hAnsi="Calibri"/>
                <w:sz w:val="22"/>
              </w:rPr>
              <w:t>Disetujui oleh</w:t>
              <w:br/>
              <w:t>(Dewan Komisaris)</w:t>
            </w:r>
          </w:p>
        </w:tc>
        <w:tc>
          <w:tcPr>
            <w:tcW w:type="dxa" w:w="2280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Slamet &amp; Willung</w:t>
            </w:r>
          </w:p>
        </w:tc>
        <w:tc>
          <w:tcPr>
            <w:tcW w:type="dxa" w:w="2280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2280"/>
            <w:shd w:fill="F2F7FB"/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