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Радикорский</w:t>
      </w:r>
      <w:r>
        <w:t xml:space="preserve"> </w:t>
      </w:r>
      <w:r>
        <w:t xml:space="preserve">Павел</w:t>
      </w:r>
      <w:r>
        <w:t xml:space="preserve"> </w:t>
      </w:r>
      <w:r>
        <w:t xml:space="preserve">Михайлович</w:t>
      </w:r>
    </w:p>
    <w:p>
      <w:pPr>
        <w:pStyle w:val="Author"/>
      </w:pPr>
      <w:r>
        <w:t xml:space="preserve">НФИбд-03-18</w:t>
      </w:r>
    </w:p>
    <w:p>
      <w:pPr>
        <w:pStyle w:val="Date"/>
      </w:pPr>
      <w:r>
        <w:t xml:space="preserve">11.12.2021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Освоить на практике применение режима однократного гаммирования</w:t>
      </w:r>
    </w:p>
    <w:bookmarkEnd w:id="20"/>
    <w:bookmarkStart w:id="27" w:name="выполнение"/>
    <w:p>
      <w:pPr>
        <w:pStyle w:val="Heading1"/>
      </w:pPr>
      <w:r>
        <w:t xml:space="preserve">Выполнение</w:t>
      </w:r>
    </w:p>
    <w:p>
      <w:pPr>
        <w:pStyle w:val="FirstParagraph"/>
      </w:pPr>
      <w:r>
        <w:t xml:space="preserve">Функция шифрования. Задаем алфавит из заглавных, строчных букв русского алфавита, !, ?, ., , и пробела. На вход поступает открытый текст, в виде массива символов, и ключ — гамму. Анализируем длину текста, «растягиваем» гамму до нужного размера и выполняем посимвольное сложение.</w:t>
      </w:r>
    </w:p>
    <w:p>
      <w:pPr>
        <w:pStyle w:val="CaptionedFigure"/>
      </w:pPr>
      <w:bookmarkStart w:id="22" w:name="fig:001"/>
      <w:r>
        <w:drawing>
          <wp:inline>
            <wp:extent cx="5334000" cy="2188679"/>
            <wp:effectExtent b="0" l="0" r="0" t="0"/>
            <wp:docPr descr="Функция шифров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Функция шифрования</w:t>
      </w:r>
    </w:p>
    <w:p>
      <w:pPr>
        <w:pStyle w:val="BodyText"/>
      </w:pPr>
      <w:r>
        <w:t xml:space="preserve">Функция расшифрования Работает аналогично. «Растягиваем» гамму и выполняем посимвольное вычитание ее из текста.</w:t>
      </w:r>
    </w:p>
    <w:p>
      <w:pPr>
        <w:pStyle w:val="CaptionedFigure"/>
      </w:pPr>
      <w:bookmarkStart w:id="24" w:name="fig:001"/>
      <w:r>
        <w:drawing>
          <wp:inline>
            <wp:extent cx="5334000" cy="1768310"/>
            <wp:effectExtent b="0" l="0" r="0" t="0"/>
            <wp:docPr descr="Функция расшифров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Функция расшифрования</w:t>
      </w:r>
    </w:p>
    <w:p>
      <w:pPr>
        <w:pStyle w:val="BodyText"/>
      </w:pPr>
      <w:r>
        <w:t xml:space="preserve">Функция, которая определяет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Работает аналогично функции расшифрования, но на вход поступает не зашифрованный текст и ключ, а зашифрованный и открытый текст</w:t>
      </w:r>
    </w:p>
    <w:p>
      <w:pPr>
        <w:pStyle w:val="CaptionedFigure"/>
      </w:pPr>
      <w:bookmarkStart w:id="26" w:name="fig:001"/>
      <w:r>
        <w:drawing>
          <wp:inline>
            <wp:extent cx="5334000" cy="1753907"/>
            <wp:effectExtent b="0" l="0" r="0" t="0"/>
            <wp:docPr descr="Функция получения ключ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Функция получения ключа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7. Элементы криптографии. Однократное гаммирование</dc:title>
  <dc:creator>Радикорский Павел Михайлович; НФИбд-03-18</dc:creator>
  <dc:language>ru</dc:language>
  <cp:keywords>Безопасность, Лабораторная</cp:keywords>
  <dcterms:created xsi:type="dcterms:W3CDTF">2021-12-11T01:21:55Z</dcterms:created>
  <dcterms:modified xsi:type="dcterms:W3CDTF">2021-12-11T01:21:55Z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11.12.2021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Consolas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titlepage">
    <vt:lpwstr>True</vt:lpwstr>
  </property>
  <property fmtid="{D5CDD505-2E9C-101B-9397-08002B2CF9AE}" pid="18" name="titlepage-rule-color">
    <vt:lpwstr>000000</vt:lpwstr>
  </property>
  <property fmtid="{D5CDD505-2E9C-101B-9397-08002B2CF9AE}" pid="19" name="titlepage-rule-height">
    <vt:lpwstr>0</vt:lpwstr>
  </property>
  <property fmtid="{D5CDD505-2E9C-101B-9397-08002B2CF9AE}" pid="20" name="titlepage-text-color">
    <vt:lpwstr>000000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