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Радикорский</w:t>
      </w:r>
      <w:r>
        <w:t xml:space="preserve"> </w:t>
      </w:r>
      <w:r>
        <w:t xml:space="preserve">Павел</w:t>
      </w:r>
      <w:r>
        <w:t xml:space="preserve"> </w:t>
      </w:r>
      <w:r>
        <w:t xml:space="preserve">Михайлович</w:t>
      </w:r>
    </w:p>
    <w:p>
      <w:pPr>
        <w:pStyle w:val="Author"/>
      </w:pPr>
      <w:r>
        <w:t xml:space="preserve">НФИбд-03-18</w:t>
      </w:r>
    </w:p>
    <w:p>
      <w:pPr>
        <w:pStyle w:val="Date"/>
      </w:pPr>
      <w:r>
        <w:t xml:space="preserve">27.02.2021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виды модели боевых действий и реализовать программный код для её моделирования.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модели боевых действий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программный код для 42 варианта</w:t>
      </w:r>
    </w:p>
    <w:bookmarkEnd w:id="20"/>
    <w:bookmarkStart w:id="25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теоретической части лабораторной работы рассмотрим все интерпретации модели боевых действий.</w:t>
      </w:r>
    </w:p>
    <w:bookmarkStart w:id="21" w:name="первая-модель"/>
    <w:p>
      <w:pPr>
        <w:pStyle w:val="Heading2"/>
      </w:pPr>
      <w:r>
        <w:t xml:space="preserve">Первая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параметры, описывающие влияние побочных факторов на потери во время боевых действий, а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параметры эффективности боевых действий со стороны армий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2" w:name="вторая-модель"/>
    <w:p>
      <w:pPr>
        <w:pStyle w:val="Heading2"/>
      </w:pPr>
      <w:r>
        <w:t xml:space="preserve">Вторая модель</w:t>
      </w:r>
    </w:p>
    <w:p>
      <w:pPr>
        <w:pStyle w:val="FirstParagraph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2"/>
    <w:bookmarkStart w:id="23" w:name="третья-модель"/>
    <w:p>
      <w:pPr>
        <w:pStyle w:val="Heading2"/>
      </w:pPr>
      <w:r>
        <w:t xml:space="preserve">Третья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3"/>
    <w:bookmarkStart w:id="24" w:name="подготовка-к-реализации"/>
    <w:p>
      <w:pPr>
        <w:pStyle w:val="Heading2"/>
      </w:pPr>
      <w:r>
        <w:t xml:space="preserve">Подготовка к реализации</w:t>
      </w:r>
    </w:p>
    <w:p>
      <w:pPr>
        <w:pStyle w:val="FirstParagraph"/>
      </w:pPr>
      <w:r>
        <w:t xml:space="preserve">Коэффициенты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будут постоянными для реализации лабораторной работы, т.к. иной вариант сложнее смоделировать.</w:t>
      </w:r>
    </w:p>
    <w:bookmarkEnd w:id="24"/>
    <w:bookmarkEnd w:id="25"/>
    <w:bookmarkStart w:id="34" w:name="программная-реализация"/>
    <w:p>
      <w:pPr>
        <w:pStyle w:val="Heading1"/>
      </w:pPr>
      <w:r>
        <w:t xml:space="preserve">Программная реализация</w:t>
      </w:r>
    </w:p>
    <w:p>
      <w:pPr>
        <w:pStyle w:val="FirstParagraph"/>
      </w:pPr>
      <w:r>
        <w:t xml:space="preserve">При выполнении задания лабораторной работы использовался Вариант 42.</w:t>
      </w:r>
    </w:p>
    <w:bookmarkStart w:id="26" w:name="начальные-данные"/>
    <w:p>
      <w:pPr>
        <w:pStyle w:val="Heading2"/>
      </w:pPr>
      <w:r>
        <w:t xml:space="preserve">Начальные данные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cos, sin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np.arange(t0,tmax,dt)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np.array([x0, y0])</w:t>
      </w:r>
    </w:p>
    <w:bookmarkEnd w:id="26"/>
    <w:bookmarkStart w:id="33" w:name="реализация-моделей"/>
    <w:p>
      <w:pPr>
        <w:pStyle w:val="Heading2"/>
      </w:pPr>
      <w:r>
        <w:t xml:space="preserve">Реализация моделей</w:t>
      </w:r>
    </w:p>
    <w:bookmarkStart w:id="29" w:name="модель-1"/>
    <w:p>
      <w:pPr>
        <w:pStyle w:val="Heading3"/>
      </w:pPr>
      <w:r>
        <w:t xml:space="preserve">Модель №1</w:t>
      </w:r>
    </w:p>
    <w:p>
      <w:pPr>
        <w:pStyle w:val="FirstParagraph"/>
      </w:pPr>
      <w:r>
        <w:t xml:space="preserve">Зададим необходимые коэффициенты.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</w:p>
    <w:p>
      <w:pPr>
        <w:pStyle w:val="FirstParagraph"/>
      </w:pPr>
      <w:r>
        <w:t xml:space="preserve">Объявим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функцию для СДУ.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P(t):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(sin(t)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(cos(t)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derY1(y,t):</w:t>
      </w:r>
      <w:r>
        <w:br/>
      </w:r>
      <w:r>
        <w:rPr>
          <w:rStyle w:val="NormalTok"/>
        </w:rPr>
        <w:t xml:space="preserve">    dy1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dy2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[dy1, dy2]</w:t>
      </w:r>
    </w:p>
    <w:p>
      <w:pPr>
        <w:pStyle w:val="FirstParagraph"/>
      </w:pPr>
      <w:r>
        <w:t xml:space="preserve">Решим через</w:t>
      </w:r>
      <w:r>
        <w:t xml:space="preserve"> </w:t>
      </w:r>
      <w:r>
        <w:rPr>
          <w:rStyle w:val="VerbatimChar"/>
        </w:rPr>
        <w:t xml:space="preserve">odeint</w:t>
      </w:r>
      <w:r>
        <w:t xml:space="preserve"> </w:t>
      </w:r>
      <w:r>
        <w:t xml:space="preserve">систему дифференциальных уравнений с помощью функции (рис. 1).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odeint(derY1, v0, t)</w:t>
      </w:r>
      <w:r>
        <w:br/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[y_i[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</w:t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[y_i[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</w:t>
      </w:r>
      <w:r>
        <w:br/>
      </w:r>
      <w:r>
        <w:br/>
      </w:r>
      <w:r>
        <w:rPr>
          <w:rStyle w:val="NormalTok"/>
        </w:rPr>
        <w:t xml:space="preserve">plt.plot(t, data1,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plt.plot(t, data2,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plt.margins(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aptionedFigure"/>
      </w:pPr>
      <w:bookmarkStart w:id="28" w:name="fig:001"/>
      <w:r>
        <w:drawing>
          <wp:inline>
            <wp:extent cx="5232400" cy="4432300"/>
            <wp:effectExtent b="0" l="0" r="0" t="0"/>
            <wp:docPr descr="Модель для регулярных войск" title="" id="1" name="Picture"/>
            <a:graphic>
              <a:graphicData uri="http://schemas.openxmlformats.org/drawingml/2006/picture">
                <pic:pic>
                  <pic:nvPicPr>
                    <pic:cNvPr descr="image/output_1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Модель для регулярных войск</w:t>
      </w:r>
    </w:p>
    <w:bookmarkEnd w:id="29"/>
    <w:bookmarkStart w:id="32" w:name="модель-2"/>
    <w:p>
      <w:pPr>
        <w:pStyle w:val="Heading3"/>
      </w:pPr>
      <w:r>
        <w:t xml:space="preserve">Модель №2</w:t>
      </w:r>
    </w:p>
    <w:p>
      <w:pPr>
        <w:pStyle w:val="FirstParagraph"/>
      </w:pPr>
      <w:r>
        <w:t xml:space="preserve">Переопределим коэфициенты для второй модели ведения боевых действий.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</w:t>
      </w:r>
    </w:p>
    <w:p>
      <w:pPr>
        <w:pStyle w:val="FirstParagraph"/>
      </w:pPr>
      <w:r>
        <w:t xml:space="preserve">Переопределим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функцию решения СДУ.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(sin(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(cos(t)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derY2(y,t):</w:t>
      </w:r>
      <w:r>
        <w:br/>
      </w:r>
      <w:r>
        <w:rPr>
          <w:rStyle w:val="NormalTok"/>
        </w:rPr>
        <w:t xml:space="preserve">    dy1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dy2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[dy1, dy2]</w:t>
      </w:r>
    </w:p>
    <w:p>
      <w:pPr>
        <w:pStyle w:val="FirstParagraph"/>
      </w:pPr>
      <w:r>
        <w:t xml:space="preserve">Решим обновленную СДУ (рис. 2).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odeint(derY2, v0, t)</w:t>
      </w:r>
      <w:r>
        <w:br/>
      </w:r>
      <w:r>
        <w:rPr>
          <w:rStyle w:val="NormalTok"/>
        </w:rPr>
        <w:t xml:space="preserve">dataset_1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[y_i[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</w:t>
      </w:r>
      <w:r>
        <w:br/>
      </w:r>
      <w:r>
        <w:rPr>
          <w:rStyle w:val="NormalTok"/>
        </w:rPr>
        <w:t xml:space="preserve">dataset_2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[y_i[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y]</w:t>
      </w:r>
      <w:r>
        <w:br/>
      </w:r>
      <w:r>
        <w:br/>
      </w:r>
      <w:r>
        <w:rPr>
          <w:rStyle w:val="NormalTok"/>
        </w:rPr>
        <w:t xml:space="preserve">plt.plot(t, dataset_1,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plt.plot(t, dataset_2,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plt.margins(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aptionedFigure"/>
      </w:pPr>
      <w:bookmarkStart w:id="31" w:name="fig:002"/>
      <w:r>
        <w:drawing>
          <wp:inline>
            <wp:extent cx="5232400" cy="4432300"/>
            <wp:effectExtent b="0" l="0" r="0" t="0"/>
            <wp:docPr descr="Вторая модель" title="" id="1" name="Picture"/>
            <a:graphic>
              <a:graphicData uri="http://schemas.openxmlformats.org/drawingml/2006/picture">
                <pic:pic>
                  <pic:nvPicPr>
                    <pic:cNvPr descr="image/output_19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Вторая модель</w:t>
      </w:r>
    </w:p>
    <w:bookmarkEnd w:id="32"/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изучены модели боевых действий, а также была реализована практическая часть в виде реализации программного кода.</w:t>
      </w:r>
    </w:p>
    <w:p>
      <w:pPr>
        <w:pStyle w:val="BodyText"/>
      </w:pPr>
      <w:r>
        <w:t xml:space="preserve">По построенным моделям можно судить, что при участии партизанских отрядов, армия Y понесет значительные потери, в отличие от первого случая, когда функции потерь обеих армий ведут себя приблизительно одинаково.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Модель боевых действий</dc:title>
  <dc:creator>Радикорский Павел Михайлович; НФИбд-03-18</dc:creator>
  <dc:language>ru</dc:language>
  <cp:keywords>Моделирование, Лабораторная</cp:keywords>
  <dcterms:created xsi:type="dcterms:W3CDTF">2021-02-27T09:46:38Z</dcterms:created>
  <dcterms:modified xsi:type="dcterms:W3CDTF">2021-02-27T09:46:38Z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27.02.2021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Consolas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titlepage">
    <vt:lpwstr>True</vt:lpwstr>
  </property>
  <property fmtid="{D5CDD505-2E9C-101B-9397-08002B2CF9AE}" pid="18" name="titlepage-rule-color">
    <vt:lpwstr>000000</vt:lpwstr>
  </property>
  <property fmtid="{D5CDD505-2E9C-101B-9397-08002B2CF9AE}" pid="19" name="titlepage-rule-height">
    <vt:lpwstr>0</vt:lpwstr>
  </property>
  <property fmtid="{D5CDD505-2E9C-101B-9397-08002B2CF9AE}" pid="20" name="titlepage-text-color">
    <vt:lpwstr>000000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