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A2EAE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68B8801D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31A906D9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60A3A102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73799DB8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3D7CEED8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4BA9FF6">
      <w:pPr>
        <w:jc w:val="center"/>
        <w:rPr>
          <w:rFonts w:ascii="宋体"/>
          <w:sz w:val="28"/>
          <w:szCs w:val="28"/>
        </w:rPr>
      </w:pPr>
    </w:p>
    <w:p w14:paraId="2FDF818E">
      <w:pPr>
        <w:jc w:val="center"/>
        <w:rPr>
          <w:rFonts w:ascii="宋体"/>
          <w:sz w:val="28"/>
          <w:szCs w:val="28"/>
        </w:rPr>
      </w:pPr>
    </w:p>
    <w:p w14:paraId="3B69C1C7">
      <w:pPr>
        <w:jc w:val="center"/>
        <w:rPr>
          <w:rFonts w:ascii="宋体"/>
          <w:sz w:val="28"/>
          <w:szCs w:val="28"/>
        </w:rPr>
      </w:pPr>
    </w:p>
    <w:p w14:paraId="6F6B8A8F">
      <w:pPr>
        <w:jc w:val="center"/>
        <w:rPr>
          <w:rFonts w:ascii="宋体"/>
          <w:sz w:val="28"/>
          <w:szCs w:val="28"/>
        </w:rPr>
      </w:pPr>
    </w:p>
    <w:p w14:paraId="47FFD95D">
      <w:pPr>
        <w:jc w:val="center"/>
        <w:rPr>
          <w:rFonts w:ascii="宋体"/>
          <w:sz w:val="28"/>
          <w:szCs w:val="28"/>
        </w:rPr>
      </w:pPr>
    </w:p>
    <w:p w14:paraId="54538692">
      <w:pPr>
        <w:rPr>
          <w:rFonts w:ascii="仿宋_GB2312" w:eastAsia="仿宋_GB2312"/>
        </w:rPr>
      </w:pPr>
    </w:p>
    <w:p w14:paraId="2DF0C50F">
      <w:pPr>
        <w:rPr>
          <w:rFonts w:ascii="仿宋_GB2312" w:eastAsia="仿宋_GB2312"/>
        </w:rPr>
      </w:pPr>
    </w:p>
    <w:p w14:paraId="3CCF0887">
      <w:pPr>
        <w:rPr>
          <w:rFonts w:ascii="仿宋_GB2312" w:eastAsia="仿宋_GB2312"/>
        </w:rPr>
      </w:pPr>
    </w:p>
    <w:p w14:paraId="597FB3BA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64A8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10CFBA3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31A211B7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孙睿佳</w:t>
            </w:r>
          </w:p>
        </w:tc>
        <w:tc>
          <w:tcPr>
            <w:tcW w:w="2201" w:type="dxa"/>
            <w:gridSpan w:val="2"/>
            <w:vAlign w:val="center"/>
          </w:tcPr>
          <w:p w14:paraId="3493E5D7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2E46AE5E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b w:val="0"/>
                <w:color w:val="000000"/>
                <w:sz w:val="24"/>
                <w:lang w:val="en-US" w:eastAsia="zh-CN"/>
              </w:rPr>
              <w:t>F25016509</w:t>
            </w:r>
          </w:p>
        </w:tc>
      </w:tr>
      <w:tr w14:paraId="0CF6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17495E6B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719C93D3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F250165</w:t>
            </w:r>
            <w:bookmarkStart w:id="0" w:name="_GoBack"/>
            <w:bookmarkEnd w:id="0"/>
          </w:p>
        </w:tc>
        <w:tc>
          <w:tcPr>
            <w:tcW w:w="2201" w:type="dxa"/>
            <w:gridSpan w:val="2"/>
            <w:vAlign w:val="center"/>
          </w:tcPr>
          <w:p w14:paraId="24C87446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7DBDBE5D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51469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3C9FB147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1DFE8F14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28E2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10C50841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7B5E7A0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70D88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51EAC42C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0E3C70B4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/>
                <w:b w:val="0"/>
                <w:color w:val="000000"/>
                <w:sz w:val="24"/>
              </w:rPr>
              <w:t>2026年10月29日</w:t>
            </w:r>
          </w:p>
        </w:tc>
      </w:tr>
      <w:tr w14:paraId="3574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7578F3A9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7D0CA8A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5B4D692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377B61DD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71FD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19AD60D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2AAF7D3A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7CB866EA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1868D924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43E0EE76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2C370253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1、选取的开源项目简介：Apache Commons Lang</w:t>
      </w:r>
    </w:p>
    <w:p w14:paraId="66CCEACD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Apache Commons Lang 是 Apache 软件基金会（ASF）Commons 顶级项目下的核心基础库，使用 Java 编写，用于弥补 java.lang 标准库的不足，提供字符串、数组、反射、并发等工具类。它通常被大量 Java 应用以依赖方式引入，属于典型的“被二次分发”的基础组件，其许可证合规状态会沿依赖链传递给下游项目，具有很强的合规审查代表性。本次扫描对象为 apache/commons-lang 主干分支（版本 3.22.0-SNAPSHOT），共 717 个文件、10.45 MB，其中 Java 源���件 630 个；根目录 LICENSE.txt 与 NOTICE.txt 表明官方许可证为 Apache-2.0。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4151"/>
      </w:tblGrid>
      <w:tr w14:paraId="2732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784F42B0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w="4153" w:type="dxa"/>
          </w:tcPr>
          <w:p w14:paraId="69677C6A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Apache Commons Lang（commons-lang3）</w:t>
            </w:r>
          </w:p>
        </w:tc>
      </w:tr>
      <w:tr w14:paraId="2EBC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4230D8A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所属社区 / 语言</w:t>
            </w:r>
          </w:p>
        </w:tc>
        <w:tc>
          <w:tcPr>
            <w:tcW w:w="4153" w:type="dxa"/>
          </w:tcPr>
          <w:p w14:paraId="119961D0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Apache 软件基金会（ASF）/ Java（630 个 .java）</w:t>
            </w:r>
          </w:p>
        </w:tc>
      </w:tr>
      <w:tr w14:paraId="601F6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32B1E7F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版本 / 官方许可证</w:t>
            </w:r>
          </w:p>
        </w:tc>
        <w:tc>
          <w:tcPr>
            <w:tcW w:w="4153" w:type="dxa"/>
          </w:tcPr>
          <w:p w14:paraId="7822FB4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3.22.0-SNAPSHOT / Apache-2.0</w:t>
            </w:r>
          </w:p>
        </w:tc>
      </w:tr>
      <w:tr w14:paraId="2D2D0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5A1C21C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代码规模</w:t>
            </w:r>
          </w:p>
        </w:tc>
        <w:tc>
          <w:tcPr>
            <w:tcW w:w="4153" w:type="dxa"/>
          </w:tcPr>
          <w:p w14:paraId="301D49BC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717 个文件、10.45 MB</w:t>
            </w:r>
          </w:p>
        </w:tc>
      </w:tr>
      <w:tr w14:paraId="3A2E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5BC3AD8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获取方式</w:t>
            </w:r>
          </w:p>
        </w:tc>
        <w:tc>
          <w:tcPr>
            <w:tcW w:w="4153" w:type="dxa"/>
          </w:tcPr>
          <w:p w14:paraId="2158768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git clone --depth 1 https://github.com/apache/commons-lang.git</w:t>
            </w:r>
          </w:p>
        </w:tc>
      </w:tr>
    </w:tbl>
    <w:p w14:paraId="794004DE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选择该项目的原因：出自 Apache 社区，符合作业要求；纯 Java 项目且许可证头规范统一，便于检验工具对“标准 Apache 头”的识别能力；体量适中，单机数分钟即可完成全量扫描。</w:t>
      </w:r>
    </w:p>
    <w:p w14:paraId="19BB6BAC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</w:rPr>
      </w:pPr>
    </w:p>
    <w:p w14:paraId="02066A1F">
      <w:pPr>
        <w:widowControl/>
        <w:jc w:val="left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2、合规工具 ScanCode Toolkit 的安装过程及遇到的问题</w:t>
      </w:r>
    </w:p>
    <w:p w14:paraId="3B77F9F3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本次实验环境为 Windows 11（64 位）、Python 3.13.14、ScanCode Toolkit 32.5.0。为避免污染系统环境，先在 D:\开源作业\projects 下建立独立虚拟环境，再用 pip 安装：</w:t>
      </w:r>
    </w:p>
    <w:p w14:paraId="63E06A59">
      <w:pPr>
        <w:spacing w:before="4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>python -m venv scancode-env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scancode-env\Scripts\python.exe -m pip install scancode-toolkit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scancode-env\Scripts\scancode.exe --version</w:t>
      </w:r>
    </w:p>
    <w:p w14:paraId="062F5654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安装与初次运行共遇到四个问题，逐一排查如下：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2652"/>
        <w:gridCol w:w="1939"/>
        <w:gridCol w:w="1961"/>
      </w:tblGrid>
      <w:tr w14:paraId="6587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9AAB9F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#</w:t>
            </w:r>
          </w:p>
        </w:tc>
        <w:tc>
          <w:tcPr>
            <w:tcW w:w="2076" w:type="dxa"/>
          </w:tcPr>
          <w:p w14:paraId="5C808256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w="2076" w:type="dxa"/>
          </w:tcPr>
          <w:p w14:paraId="6B9C9AD7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w="2076" w:type="dxa"/>
          </w:tcPr>
          <w:p w14:paraId="491DFA1D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解决办法</w:t>
            </w:r>
          </w:p>
        </w:tc>
      </w:tr>
      <w:tr w14:paraId="6DE17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13C3A4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2076" w:type="dxa"/>
          </w:tcPr>
          <w:p w14:paraId="5F9419E7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pip install --upgrade pip 报错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[safe-delete]…FAIL_CLOSED，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随后 pip 模块丢失</w:t>
            </w:r>
          </w:p>
        </w:tc>
        <w:tc>
          <w:tcPr>
            <w:tcW w:w="2076" w:type="dxa"/>
          </w:tcPr>
          <w:p w14:paraId="4C2D9B10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沙箱回收站不可用，pip 自升级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无法替换 pip.exe</w:t>
            </w:r>
          </w:p>
        </w:tc>
        <w:tc>
          <w:tcPr>
            <w:tcW w:w="2076" w:type="dxa"/>
          </w:tcPr>
          <w:p w14:paraId="7AD74074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重建虚拟环境，跳过 pip 自升级，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直接安装 scancode-toolkit</w:t>
            </w:r>
          </w:p>
        </w:tc>
      </w:tr>
      <w:tr w14:paraId="11275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D1BA42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2076" w:type="dxa"/>
          </w:tcPr>
          <w:p w14:paraId="61E83C05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scancode --version 抛出 ValueError: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did not find any 'pre_scan'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hooks in plugincode.pre_scan</w:t>
            </w:r>
          </w:p>
        </w:tc>
        <w:tc>
          <w:tcPr>
            <w:tcW w:w="2076" w:type="dxa"/>
          </w:tcPr>
          <w:p w14:paraId="24F14AC1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pluggy 1.7.0 与 plugincode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32.0.0 的插件注册方式不兼容</w:t>
            </w:r>
          </w:p>
        </w:tc>
        <w:tc>
          <w:tcPr>
            <w:tcW w:w="2076" w:type="dxa"/>
          </w:tcPr>
          <w:p w14:paraId="058A9D07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降级依赖：pip install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pluggy==1.5.0，运行即恢复正常</w:t>
            </w:r>
          </w:p>
        </w:tc>
      </w:tr>
      <w:tr w14:paraId="426B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0987B5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w="2076" w:type="dxa"/>
          </w:tcPr>
          <w:p w14:paraId="3D40B70B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扫描命令报 “The option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--license-text-diagnostics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requires --license-text”</w:t>
            </w:r>
          </w:p>
        </w:tc>
        <w:tc>
          <w:tcPr>
            <w:tcW w:w="2076" w:type="dxa"/>
          </w:tcPr>
          <w:p w14:paraId="5C603629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v32 中诊断类选项依赖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--license-text，不能单独启用</w:t>
            </w:r>
          </w:p>
        </w:tc>
        <w:tc>
          <w:tcPr>
            <w:tcW w:w="2076" w:type="dxa"/>
          </w:tcPr>
          <w:p w14:paraId="70492B04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移除该选项（会使每个文件嵌入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许可证原文、报告体积暴增）</w:t>
            </w:r>
          </w:p>
        </w:tc>
      </w:tr>
      <w:tr w14:paraId="5A22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4A5B2A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w="2076" w:type="dxa"/>
          </w:tcPr>
          <w:p w14:paraId="0EDAB989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717 个文件扫描耗时 331.62 秒，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平均仅 2.18 文件/秒</w:t>
            </w:r>
          </w:p>
        </w:tc>
        <w:tc>
          <w:tcPr>
            <w:tcW w:w="2076" w:type="dxa"/>
          </w:tcPr>
          <w:p w14:paraId="5C37BA01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规则库庞大，逐文件做 2-aho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多模式匹配，CPU 密集型</w:t>
            </w:r>
          </w:p>
        </w:tc>
        <w:tc>
          <w:tcPr>
            <w:tcW w:w="2076" w:type="dxa"/>
          </w:tcPr>
          <w:p w14:paraId="3458E50C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加 --processes 4 并发（本次已用）；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更大仓库用 --only-findings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或改 ScanCode.io 服务端</w:t>
            </w:r>
          </w:p>
        </w:tc>
      </w:tr>
    </w:tbl>
    <w:p w14:paraId="616DFC1A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修复后 scancode --version 正常输出：ScanCode version: 32.5.0、ScanCode Output Format version: 4.1.0、SPDX License list version: 3.27。</w:t>
      </w:r>
    </w:p>
    <w:p w14:paraId="5F90DC49">
      <w:pPr>
        <w:widowControl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3、工具输出的检测报告</w:t>
      </w:r>
    </w:p>
    <w:p w14:paraId="33F80ED3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最终执行的扫描命令如下（同时输出 JSON 与 SPDX 两种格式）：</w:t>
      </w:r>
    </w:p>
    <w:p w14:paraId="0C77BEA4">
      <w:pPr>
        <w:spacing w:before="4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>scancode --license --copyright --package --info \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--json-pp out/scancode-results.json \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--spdx-tv out/scancode-results.spdx \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commons-lang --processes 4</w:t>
      </w:r>
    </w:p>
    <w:p w14:paraId="67F30F47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扫描结果概览（数据取自 JSON 报告的 headers 与 files 字段）：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5408"/>
      </w:tblGrid>
      <w:tr w14:paraId="1F32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4E68820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4153" w:type="dxa"/>
          </w:tcPr>
          <w:p w14:paraId="1E5D81F5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数值</w:t>
            </w:r>
          </w:p>
        </w:tc>
      </w:tr>
      <w:tr w14:paraId="6A1C2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729DD49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扫描文件总数</w:t>
            </w:r>
          </w:p>
        </w:tc>
        <w:tc>
          <w:tcPr>
            <w:tcW w:w="4153" w:type="dxa"/>
          </w:tcPr>
          <w:p w14:paraId="2AE0665E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717 个文件（另有 72 个目录）</w:t>
            </w:r>
          </w:p>
        </w:tc>
      </w:tr>
      <w:tr w14:paraId="5F15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2B53BB0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代码总大小</w:t>
            </w:r>
          </w:p>
        </w:tc>
        <w:tc>
          <w:tcPr>
            <w:tcW w:w="4153" w:type="dxa"/>
          </w:tcPr>
          <w:p w14:paraId="34B59D0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10.45 MB</w:t>
            </w:r>
          </w:p>
        </w:tc>
      </w:tr>
      <w:tr w14:paraId="37BA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768823A5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扫描耗时</w:t>
            </w:r>
          </w:p>
        </w:tc>
        <w:tc>
          <w:tcPr>
            <w:tcW w:w="4153" w:type="dxa"/>
          </w:tcPr>
          <w:p w14:paraId="78D5CFEE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331.62 秒（2.18 文件/秒），错误数 0</w:t>
            </w:r>
          </w:p>
        </w:tc>
      </w:tr>
      <w:tr w14:paraId="10723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B9EB819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检出许可证表达式的文件</w:t>
            </w:r>
          </w:p>
        </w:tc>
        <w:tc>
          <w:tcPr>
            <w:tcW w:w="4153" w:type="dxa"/>
          </w:tcPr>
          <w:p w14:paraId="7A38B683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706 个（98.5%）</w:t>
            </w:r>
          </w:p>
        </w:tc>
      </w:tr>
      <w:tr w14:paraId="0C89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BCCCBD4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未检出任何许可证的文件</w:t>
            </w:r>
          </w:p>
        </w:tc>
        <w:tc>
          <w:tcPr>
            <w:tcW w:w="4153" w:type="dxa"/>
          </w:tcPr>
          <w:p w14:paraId="39357B91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11 个（1.5%）</w:t>
            </w:r>
          </w:p>
        </w:tc>
      </w:tr>
      <w:tr w14:paraId="35D6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138606C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涉及的 SPDX 许可证</w:t>
            </w:r>
          </w:p>
        </w:tc>
        <w:tc>
          <w:tcPr>
            <w:tcW w:w="4153" w:type="dxa"/>
          </w:tcPr>
          <w:p w14:paraId="7C9ED419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Apache-2.0、Apache-1.1、LicenseRef-scancode-generic-cla</w:t>
            </w:r>
          </w:p>
        </w:tc>
      </w:tr>
      <w:tr w14:paraId="2595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4B536C6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许可证匹配总数</w:t>
            </w:r>
          </w:p>
        </w:tc>
        <w:tc>
          <w:tcPr>
            <w:tcW w:w="4153" w:type="dxa"/>
          </w:tcPr>
          <w:p w14:paraId="44E060F7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717 条，平均匹配得分 99.92</w:t>
            </w:r>
          </w:p>
        </w:tc>
      </w:tr>
      <w:tr w14:paraId="5BF86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2ECEB5F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识别到的包</w:t>
            </w:r>
          </w:p>
        </w:tc>
        <w:tc>
          <w:tcPr>
            <w:tcW w:w="4153" w:type="dxa"/>
          </w:tcPr>
          <w:p w14:paraId="20AD713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pkg:maven/org.apache.commons/commons-lang3@3.22.0-SNAPSHOT</w:t>
            </w:r>
          </w:p>
        </w:tc>
      </w:tr>
      <w:tr w14:paraId="4B1E4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610F8E4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声明的依赖</w:t>
            </w:r>
          </w:p>
        </w:tc>
        <w:tc>
          <w:tcPr>
            <w:tcW w:w="4153" w:type="dxa"/>
          </w:tcPr>
          <w:p w14:paraId="15028B65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7 个（全部为 test 作用域）</w:t>
            </w:r>
          </w:p>
        </w:tc>
      </w:tr>
    </w:tbl>
    <w:p w14:paraId="7CB612CC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JSON 报告中对单个源文件的记录示例（节选，以 RandomStringUtils.java 为例）：</w:t>
      </w:r>
    </w:p>
    <w:p w14:paraId="1CF762FC">
      <w:pPr>
        <w:spacing w:before="4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>{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"path": "commons-lang/src/main/java/.../RandomStringUtils.java",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"type": "file",  "size": 49169,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"programming_language": "Java",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"detected_license_expression_spdx": "Apache-2.0",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"percentage_of_license_text": 2.15,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"license_detections": [{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    "license_expression_spdx": "Apache-2.0",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    "matches": [{ "start_line": 2, "end_line": 15,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        "matcher": "2-aho", "score": 100.0,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        "match_coverage": 100.0,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        "rule_identifier": "apache-2.0_663.RULE" }]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}],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 xml:space="preserve">  "copyrights": [], "holders": [], "scan_errors": []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}</w:t>
      </w:r>
    </w:p>
    <w:p w14:paraId="2B896E19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同时生成的 SPDX（tag-value）报告头部节选：</w:t>
      </w:r>
    </w:p>
    <w:p w14:paraId="52DBB034">
      <w:pPr>
        <w:spacing w:before="4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>SPDXVersion: SPDX-2.2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DataLicense: CC0-1.0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Creator: Tool: scancode-toolkit 32.5.0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Created: 2026-10-29T10:00:19Z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PackageName: commons_lang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PackageVerificationCode: b1c8f32c7c5b750a3922b4b1c2ff3f2101ca511d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PackageLicenseInfoFromFiles: Apache-1.1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PackageLicenseInfoFromFiles: Apache-2.0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PackageLicenseInfoFromFiles: LicenseRef-scancode-generic-cla</w:t>
      </w:r>
      <w:r>
        <w:rPr>
          <w:rFonts w:ascii="Consolas" w:hAnsi="Consolas" w:eastAsia="Consolas"/>
          <w:b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color w:val="000000"/>
          <w:sz w:val="17"/>
        </w:rPr>
        <w:t>PackageLicenseInfoFromFiles: LicenseRef-scancode-unknown-license-reference</w:t>
      </w:r>
    </w:p>
    <w:p w14:paraId="595745DA">
      <w:pPr>
        <w:widowControl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4、针对检测报告的详细分析</w:t>
      </w:r>
    </w:p>
    <w:p w14:paraId="2F266791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4.1 总体结论。扫描结果与项目官方声明高度一致：706 个文件检出许可证信息，其中 703 个文件的表达式为单一的 Apache-2.0，与根目录 LICENSE.txt 声明完全吻合；全部 630 个 Java 源文件均被识别为 Apache-2.0，未发现缺失许可证头的源码文件。据此可判定：Apache Commons Lang 主干代码在许可证层面是干净的，可以安全二次分发。</w:t>
      </w:r>
    </w:p>
    <w:p w14:paraId="58EE9C7E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4.2 三类检出表达式的分布与判断：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5"/>
        <w:gridCol w:w="1650"/>
        <w:gridCol w:w="2297"/>
        <w:gridCol w:w="1674"/>
      </w:tblGrid>
      <w:tr w14:paraId="66E9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54B3986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许可证表达式（SPDX）</w:t>
            </w:r>
          </w:p>
        </w:tc>
        <w:tc>
          <w:tcPr>
            <w:tcW w:w="2076" w:type="dxa"/>
          </w:tcPr>
          <w:p w14:paraId="15C25154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文件数</w:t>
            </w:r>
          </w:p>
        </w:tc>
        <w:tc>
          <w:tcPr>
            <w:tcW w:w="2076" w:type="dxa"/>
          </w:tcPr>
          <w:p w14:paraId="10647EC1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典型文件</w:t>
            </w:r>
          </w:p>
        </w:tc>
        <w:tc>
          <w:tcPr>
            <w:tcW w:w="2076" w:type="dxa"/>
          </w:tcPr>
          <w:p w14:paraId="4439D511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/>
                <w:color w:val="000000"/>
                <w:sz w:val="18"/>
              </w:rPr>
              <w:t>判断</w:t>
            </w:r>
          </w:p>
        </w:tc>
      </w:tr>
      <w:tr w14:paraId="5549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9B899D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w="2076" w:type="dxa"/>
          </w:tcPr>
          <w:p w14:paraId="3429E54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703</w:t>
            </w:r>
          </w:p>
        </w:tc>
        <w:tc>
          <w:tcPr>
            <w:tcW w:w="2076" w:type="dxa"/>
          </w:tcPr>
          <w:p w14:paraId="012B4BB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RandomStringUtils.java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等 630 个 Java 文件</w:t>
            </w:r>
          </w:p>
        </w:tc>
        <w:tc>
          <w:tcPr>
            <w:tcW w:w="2076" w:type="dxa"/>
          </w:tcPr>
          <w:p w14:paraId="5D9CD2F6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与官方声明一致，可信</w:t>
            </w:r>
          </w:p>
        </w:tc>
      </w:tr>
      <w:tr w14:paraId="4B3D8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CA3E8C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Apache-2.0 AND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(LicenseRef-scancode-generic-cla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AND Apache-2.0)</w:t>
            </w:r>
          </w:p>
        </w:tc>
        <w:tc>
          <w:tcPr>
            <w:tcW w:w="2076" w:type="dxa"/>
          </w:tcPr>
          <w:p w14:paraId="00B798D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2076" w:type="dxa"/>
          </w:tcPr>
          <w:p w14:paraId="636E0469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README.md、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CONTRIBUTING.md</w:t>
            </w:r>
          </w:p>
        </w:tc>
        <w:tc>
          <w:tcPr>
            <w:tcW w:w="2076" w:type="dxa"/>
          </w:tcPr>
          <w:p w14:paraId="6651CBD8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CLA 文本混入，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非许可证，需剔除</w:t>
            </w:r>
          </w:p>
        </w:tc>
      </w:tr>
      <w:tr w14:paraId="72A76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550F5C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Apache-2.0 AND Apache-1.1</w:t>
            </w:r>
          </w:p>
        </w:tc>
        <w:tc>
          <w:tcPr>
            <w:tcW w:w="2076" w:type="dxa"/>
          </w:tcPr>
          <w:p w14:paraId="6BEA28E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2076" w:type="dxa"/>
          </w:tcPr>
          <w:p w14:paraId="2FEA803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src/site/resources/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lang2-lang3-clirr-report.html</w:t>
            </w:r>
          </w:p>
        </w:tc>
        <w:tc>
          <w:tcPr>
            <w:tcW w:w="2076" w:type="dxa"/>
          </w:tcPr>
          <w:p w14:paraId="520DA9EA">
            <w:pPr>
              <w:spacing w:before="0" w:after="0" w:line="240" w:lineRule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</w:rPr>
              <w:t>疑似误报，见 4.3</w:t>
            </w:r>
          </w:p>
        </w:tc>
      </w:tr>
    </w:tbl>
    <w:p w14:paraId="6BB1084F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后两类值得注意。generic-cla 是 ScanCode 对“贡献者许可协议（CLA）”文本的通用规则，出现在 README 与 CONTRIBUTING 的贡献说明段落中，并不是软件许可证；LicenseRef-scancode-* 属于工具自定义的引用标识，不能直接写进对外发布材料，否则会造成许可证清单失真。</w:t>
      </w:r>
    </w:p>
    <w:p w14:paraId="1662A059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4.3 误报分析。唯一的低置信度匹配出现在 lang2-lang3-clirr-report.html 第 185 行：被判为 Apache-1.1，得分仅 75.0，匹配长度只有 6 个词元，匹配器为 3-seq（序列匹配）。该行实为 Clirr 兼容性报告的页脚，仅含 “Apache” 等零星词元，是典型的短文本误报。这印证了课程手册的提醒——工具既会误报也会漏报，最终结论必须人工确认；实际处置时应将其标记为“由 Apache-2.0 覆盖的误报”并忽略。</w:t>
      </w:r>
    </w:p>
    <w:p w14:paraId="18BEC66C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4.4 未检出文件分析。11 个未检出文件为：3 个 PNG 图片、2 个 XCF 源图、2 个 .class 字节码、1 个 .cgi 脚本、1 个历史 RELEASE-NOTES-3.9.txt、1 个测试输入 txt 与 1 个 JMH 结果 json。未检出并不等于违规：前三类是二进制资源，本身不承载许可证文本；RELEASE-NOTES 与测试数据是不含声明的纯文本。合规上真正需要注意的是，这些文件随项目一同分发，其许可证应沿用项目的 Apache-2.0，而不能被理解为“无许可证”。</w:t>
      </w:r>
    </w:p>
    <w:p w14:paraId="0612C765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4.5 版权与依赖。版权方面，ScanCode 仅在 NOTICE.txt 与 clirr-report.html 两处提取到明确声明，持有人均为 The Apache Software Foundation；Java 源文件头部只有许可证文本而无独立 Copyright 行，故 copyrights 字段为空，这是 Apache 项目的通行写法，并非数据缺陷。依赖方面，pom.xml 解析出 7 个依赖（JUnit、EasyMock、Mockito、Commons Text、JMH 等），全部为 test 作用域、不参与运行时分发，不会给下游带来额外许可证义务；但若发布时误将测试依赖打包，则需另行核对。</w:t>
      </w:r>
    </w:p>
    <w:p w14:paraId="3AA3DDEB">
      <w:pPr>
        <w:spacing w:before="0" w:after="0" w:line="300" w:lineRule="auto"/>
        <w:ind w:firstLine="420" w:firstLineChars="200"/>
      </w:pPr>
      <w:r>
        <w:rPr>
          <w:rFonts w:hint="eastAsia" w:ascii="Times New Roman" w:hAnsi="Times New Roman" w:eastAsia="宋体"/>
          <w:b w:val="0"/>
          <w:color w:val="000000"/>
          <w:sz w:val="21"/>
        </w:rPr>
        <w:t>4.6 结论与建议。本次扫描未发现真实的许可证冲突或违规风险，项目可判定为合规。建议：清理 clirr-report.html 等历史产物以减少误报；在 CI 中加入 scancode --license --only-findings 作为门禁，防止新增文件缺失许可证头；统一使用 SPDX 标准标识符（Apache-2.0）对外声明，保证工具间结果互通。本次实践也说明：合规工具提供的是“证据”而非“判决”，人的复核才是最后一公里。</w:t>
      </w:r>
    </w:p>
    <w:p w14:paraId="1C536BC1">
      <w:pPr>
        <w:widowControl/>
        <w:ind w:firstLine="482" w:firstLineChars="200"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</w:p>
    <w:p w14:paraId="6B430078">
      <w:pPr>
        <w:widowControl/>
        <w:spacing w:line="300" w:lineRule="auto"/>
        <w:jc w:val="left"/>
        <w:rPr>
          <w:rFonts w:ascii="仿宋_GB2312" w:hAnsi="宋体" w:eastAsia="仿宋_GB2312"/>
          <w:sz w:val="24"/>
          <w:szCs w:val="24"/>
        </w:rPr>
      </w:pPr>
    </w:p>
    <w:p w14:paraId="5896F75A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p w14:paraId="0D648DA1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C4B81D1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4FCE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775084A4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3D52B8A4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30FF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057C2D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09186014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AF68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6B2A3E7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74AF87FF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527D6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5239C8BF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E64BD2C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369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D779C56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81824AA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800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4E1FEE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076FD83F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5E6F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49CEAFE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013DC6F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7BE181CC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77E2B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70163"/>
  <w:p w14:paraId="17FCD0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1D10C45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13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List Paragraph1"/>
    <w:basedOn w:val="1"/>
    <w:qFormat/>
    <w:uiPriority w:val="99"/>
    <w:pPr>
      <w:ind w:firstLine="420" w:firstLineChars="200"/>
    </w:pPr>
  </w:style>
  <w:style w:type="character" w:customStyle="1" w:styleId="13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2160</Words>
  <Characters>4718</Characters>
  <TotalTime>0</TotalTime>
  <ScaleCrop>false</ScaleCrop>
  <LinksUpToDate>false</LinksUpToDate>
  <CharactersWithSpaces>5145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2026-10-29T18:13:00Z</dcterms:created>
  <cp:lastModifiedBy>微信用户</cp:lastModifiedBy>
  <dcterms:modified xsi:type="dcterms:W3CDTF">2026-10-29T10:23:03Z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eyJoZGlkIjoiMDU1ZGFmNzg4MjdiNTY5ZDE3NDZmMjRjZWIxMmQ2OTMiLCJ1c2VySWQiOiIxMjE5NDQ2Njc0In0=</vt:lpwstr>
  </property>
  <property fmtid="{D5CDD505-2E9C-101B-9397-08002B2CF9AE}" pid="3" name="KSOProductBuildVer">
    <vt:lpwstr>2052-12.1.0.28505</vt:lpwstr>
  </property>
  <property fmtid="{D5CDD505-2E9C-101B-9397-08002B2CF9AE}" pid="4" name="ICV">
    <vt:lpwstr>8115E83BEB1F4902B03475553DE2A4A3_12</vt:lpwstr>
  </property>
</Properties>
</file>