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90" w:rsidRPr="00DE5690" w:rsidRDefault="00DE5690" w:rsidP="00DE56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E569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Professional Summary of the Goodwill Message Delivered by Dr. </w:t>
      </w:r>
      <w:proofErr w:type="spellStart"/>
      <w:r w:rsidRPr="00DE5690">
        <w:rPr>
          <w:rFonts w:ascii="Times New Roman" w:eastAsia="Times New Roman" w:hAnsi="Times New Roman" w:cs="Times New Roman"/>
          <w:b/>
          <w:bCs/>
          <w:sz w:val="28"/>
          <w:szCs w:val="24"/>
        </w:rPr>
        <w:t>Olagunju</w:t>
      </w:r>
      <w:proofErr w:type="spellEnd"/>
      <w:r w:rsidRPr="00DE569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DE5690">
        <w:rPr>
          <w:rFonts w:ascii="Times New Roman" w:eastAsia="Times New Roman" w:hAnsi="Times New Roman" w:cs="Times New Roman"/>
          <w:b/>
          <w:bCs/>
          <w:sz w:val="28"/>
          <w:szCs w:val="24"/>
        </w:rPr>
        <w:t>Idowu</w:t>
      </w:r>
      <w:proofErr w:type="spellEnd"/>
      <w:r w:rsidRPr="00DE569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L.</w:t>
      </w:r>
      <w:r w:rsidRPr="00DE5690">
        <w:rPr>
          <w:rFonts w:ascii="Times New Roman" w:eastAsia="Times New Roman" w:hAnsi="Times New Roman" w:cs="Times New Roman"/>
          <w:sz w:val="28"/>
          <w:szCs w:val="24"/>
        </w:rPr>
        <w:br/>
      </w:r>
      <w:r w:rsidRPr="00DE5690">
        <w:rPr>
          <w:rFonts w:ascii="Times New Roman" w:eastAsia="Times New Roman" w:hAnsi="Times New Roman" w:cs="Times New Roman"/>
          <w:b/>
          <w:bCs/>
          <w:sz w:val="28"/>
          <w:szCs w:val="24"/>
        </w:rPr>
        <w:t>At the Capacity Building Workshop on Improving Groundwater Governance</w:t>
      </w:r>
      <w:r w:rsidRPr="00DE5690">
        <w:rPr>
          <w:rFonts w:ascii="Times New Roman" w:eastAsia="Times New Roman" w:hAnsi="Times New Roman" w:cs="Times New Roman"/>
          <w:sz w:val="28"/>
          <w:szCs w:val="24"/>
        </w:rPr>
        <w:br/>
      </w:r>
      <w:bookmarkStart w:id="0" w:name="_GoBack"/>
      <w:bookmarkEnd w:id="0"/>
      <w:r w:rsidRPr="00DE569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Held from April 9–10, 2025, </w:t>
      </w:r>
      <w:proofErr w:type="spellStart"/>
      <w:r w:rsidRPr="00DE5690">
        <w:rPr>
          <w:rFonts w:ascii="Times New Roman" w:eastAsia="Times New Roman" w:hAnsi="Times New Roman" w:cs="Times New Roman"/>
          <w:b/>
          <w:bCs/>
          <w:sz w:val="28"/>
          <w:szCs w:val="24"/>
        </w:rPr>
        <w:t>Rockview</w:t>
      </w:r>
      <w:proofErr w:type="spellEnd"/>
      <w:r w:rsidRPr="00DE569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Hotel Royale, Abuja</w:t>
      </w:r>
    </w:p>
    <w:p w:rsidR="00DE5690" w:rsidRPr="00DE5690" w:rsidRDefault="00DE5690" w:rsidP="00DE56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DE5690">
        <w:rPr>
          <w:rFonts w:ascii="Times New Roman" w:eastAsia="Times New Roman" w:hAnsi="Times New Roman" w:cs="Times New Roman"/>
          <w:sz w:val="24"/>
          <w:szCs w:val="24"/>
        </w:rPr>
        <w:t>Olagunju</w:t>
      </w:r>
      <w:proofErr w:type="spellEnd"/>
      <w:r w:rsidRPr="00DE5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690">
        <w:rPr>
          <w:rFonts w:ascii="Times New Roman" w:eastAsia="Times New Roman" w:hAnsi="Times New Roman" w:cs="Times New Roman"/>
          <w:sz w:val="24"/>
          <w:szCs w:val="24"/>
        </w:rPr>
        <w:t>Idowu</w:t>
      </w:r>
      <w:proofErr w:type="spellEnd"/>
      <w:r w:rsidRPr="00DE5690">
        <w:rPr>
          <w:rFonts w:ascii="Times New Roman" w:eastAsia="Times New Roman" w:hAnsi="Times New Roman" w:cs="Times New Roman"/>
          <w:sz w:val="24"/>
          <w:szCs w:val="24"/>
        </w:rPr>
        <w:t xml:space="preserve"> L., in his goodwill address, emphasized the critical importance of strengthening groundwater governance to achieve sustainable water security for human settlements across Nigeria. The workshop, organized as a strategic initiative, underscores the need for effective collective action and policy frameworks that promote the protection, responsible use, and sustainability of groundwater and aquifer systems.</w:t>
      </w:r>
    </w:p>
    <w:p w:rsidR="00DE5690" w:rsidRPr="00DE5690" w:rsidRDefault="00DE5690" w:rsidP="00DE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Key Highlights and Major Points:</w:t>
      </w:r>
    </w:p>
    <w:p w:rsidR="00DE5690" w:rsidRPr="00DE5690" w:rsidRDefault="00DE5690" w:rsidP="00DE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Groundwater Governance</w:t>
      </w:r>
      <w:proofErr w:type="gramStart"/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E5690">
        <w:rPr>
          <w:rFonts w:ascii="Times New Roman" w:eastAsia="Times New Roman" w:hAnsi="Times New Roman" w:cs="Times New Roman"/>
          <w:sz w:val="24"/>
          <w:szCs w:val="24"/>
        </w:rPr>
        <w:br/>
        <w:t>Groundwater is a vital yet often invisible resource, essential for sustaining ecosystems, agriculture, and human settlements. Effective governance entails coordinated action to control, protect, and sustainably utilize groundwater, particularly in vulnerable communities.</w:t>
      </w:r>
    </w:p>
    <w:p w:rsidR="00DE5690" w:rsidRPr="00DE5690" w:rsidRDefault="00DE5690" w:rsidP="00DE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Socioeconomic and Ecological Relevance</w:t>
      </w:r>
      <w:proofErr w:type="gramStart"/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E5690">
        <w:rPr>
          <w:rFonts w:ascii="Times New Roman" w:eastAsia="Times New Roman" w:hAnsi="Times New Roman" w:cs="Times New Roman"/>
          <w:sz w:val="24"/>
          <w:szCs w:val="24"/>
        </w:rPr>
        <w:br/>
        <w:t>Groundwater provides reliable local water, especially during droughts, supports ecosystems, and enhances microclimates. It plays a pivotal role in food and water security and is indispensable to both rural areas and urban slums.</w:t>
      </w:r>
    </w:p>
    <w:p w:rsidR="00DE5690" w:rsidRPr="00DE5690" w:rsidRDefault="00DE5690" w:rsidP="00DE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Resource Contribution:</w:t>
      </w:r>
    </w:p>
    <w:p w:rsidR="00DE5690" w:rsidRPr="00DE5690" w:rsidRDefault="00DE5690" w:rsidP="00DE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sz w:val="24"/>
          <w:szCs w:val="24"/>
        </w:rPr>
        <w:t>Groundwater supplies nearly half of the world’s drinking water.</w:t>
      </w:r>
    </w:p>
    <w:p w:rsidR="00DE5690" w:rsidRPr="00DE5690" w:rsidRDefault="00DE5690" w:rsidP="00DE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sz w:val="24"/>
          <w:szCs w:val="24"/>
        </w:rPr>
        <w:t>40% of water used in irrigated agriculture originates from groundwater.</w:t>
      </w:r>
    </w:p>
    <w:p w:rsidR="00DE5690" w:rsidRPr="00DE5690" w:rsidRDefault="00DE5690" w:rsidP="00DE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sz w:val="24"/>
          <w:szCs w:val="24"/>
        </w:rPr>
        <w:t>One-third of industrial water needs are met through groundwater sources.</w:t>
      </w:r>
    </w:p>
    <w:p w:rsidR="00DE5690" w:rsidRPr="00DE5690" w:rsidRDefault="00DE5690" w:rsidP="00DE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Policy and Framework Needs</w:t>
      </w:r>
      <w:proofErr w:type="gramStart"/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E5690">
        <w:rPr>
          <w:rFonts w:ascii="Times New Roman" w:eastAsia="Times New Roman" w:hAnsi="Times New Roman" w:cs="Times New Roman"/>
          <w:sz w:val="24"/>
          <w:szCs w:val="24"/>
        </w:rPr>
        <w:br/>
        <w:t>To optimize its benefits, groundwater management must be underpinned by strong policy frameworks and guided practices that encourage sustainable usage and prevent aquifer degradation.</w:t>
      </w:r>
    </w:p>
    <w:p w:rsidR="00DE5690" w:rsidRPr="00DE5690" w:rsidRDefault="00DE5690" w:rsidP="00DE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Climate Change and Future Resilience</w:t>
      </w:r>
      <w:proofErr w:type="gramStart"/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E5690">
        <w:rPr>
          <w:rFonts w:ascii="Times New Roman" w:eastAsia="Times New Roman" w:hAnsi="Times New Roman" w:cs="Times New Roman"/>
          <w:sz w:val="24"/>
          <w:szCs w:val="24"/>
        </w:rPr>
        <w:br/>
        <w:t>In the face of worsening climate conditions, groundwater can act as a catalyst for economic growth, social development, and climate resilience—if it is developed and managed sustainably.</w:t>
      </w:r>
    </w:p>
    <w:p w:rsidR="00DE5690" w:rsidRPr="00DE5690" w:rsidRDefault="00DE5690" w:rsidP="00DE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Call to Action</w:t>
      </w:r>
      <w:proofErr w:type="gramStart"/>
      <w:r w:rsidRPr="00DE56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E5690">
        <w:rPr>
          <w:rFonts w:ascii="Times New Roman" w:eastAsia="Times New Roman" w:hAnsi="Times New Roman" w:cs="Times New Roman"/>
          <w:sz w:val="24"/>
          <w:szCs w:val="24"/>
        </w:rPr>
        <w:br/>
        <w:t xml:space="preserve">Dr. </w:t>
      </w:r>
      <w:proofErr w:type="spellStart"/>
      <w:r w:rsidRPr="00DE5690">
        <w:rPr>
          <w:rFonts w:ascii="Times New Roman" w:eastAsia="Times New Roman" w:hAnsi="Times New Roman" w:cs="Times New Roman"/>
          <w:sz w:val="24"/>
          <w:szCs w:val="24"/>
        </w:rPr>
        <w:t>Idowu</w:t>
      </w:r>
      <w:proofErr w:type="spellEnd"/>
      <w:r w:rsidRPr="00DE5690">
        <w:rPr>
          <w:rFonts w:ascii="Times New Roman" w:eastAsia="Times New Roman" w:hAnsi="Times New Roman" w:cs="Times New Roman"/>
          <w:sz w:val="24"/>
          <w:szCs w:val="24"/>
        </w:rPr>
        <w:t xml:space="preserve"> urged participants and stakeholders to remain committed to enhancing groundwater governance efforts, as this is pivotal to achieving long-term water security and national development goals.</w:t>
      </w:r>
    </w:p>
    <w:p w:rsidR="005A24B0" w:rsidRDefault="00DE5690"/>
    <w:sectPr w:rsidR="005A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39EE"/>
    <w:multiLevelType w:val="multilevel"/>
    <w:tmpl w:val="2BFA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90"/>
    <w:rsid w:val="00587ABF"/>
    <w:rsid w:val="00D3102D"/>
    <w:rsid w:val="00D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CFE7"/>
  <w15:chartTrackingRefBased/>
  <w15:docId w15:val="{36E84BF2-47CB-4AFE-BA9C-7EABECEC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56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2025-04-22T23:35:00Z</dcterms:created>
  <dcterms:modified xsi:type="dcterms:W3CDTF">2025-04-22T23:37:00Z</dcterms:modified>
</cp:coreProperties>
</file>