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Heading1"/>
      </w:pPr>
      <w:r>
        <w:t>[ВСТАВКА ПОСЛЕ ЯКОРЯ]: Данное примечание внедрено строго под заголовком Cras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051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0510"/>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92456970"/>
        <c:axId val="91117211"/>
      </c:barChart>
      <c:catAx>
        <c:axId val="92456970"/>
        <c:scaling>
          <c:orientation val="minMax"/>
        </c:scaling>
        <c:delete val="0"/>
        <c:axPos val="b"/>
        <c:majorTickMark val="out"/>
        <c:minorTickMark val="none"/>
        <c:tickLblPos val="nextTo"/>
        <c:spPr>
          <a:ln>
            <a:solidFill>
              <a:srgbClr val="b3b3b3"/>
            </a:solidFill>
          </a:ln>
        </c:spPr>
        <c:crossAx val="91117211"/>
        <c:crossesAt val="0"/>
        <c:auto val="1"/>
        <c:lblAlgn val="ctr"/>
        <c:lblOffset val="100"/>
      </c:catAx>
      <c:valAx>
        <c:axId val="91117211"/>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92456970"/>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