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type="dxa" w:w="719"/>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pPr>
            <w:r>
              <w:rPr>
                <w:rFonts w:ascii="DejaVu Sans" w:hAnsi="DejaVu Sans"/>
                <w:sz w:val="21"/>
              </w:rPr>
              <w:t>99</w:t>
            </w:r>
          </w:p>
        </w:tc>
        <w:tc>
          <w:tcPr>
            <w:tcW w:type="dxa" w:w="5670"/>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spacing w:before="0" w:after="225"/>
              <w:jc w:val="left"/>
            </w:pPr>
            <w:r>
              <w:rPr>
                <w:rFonts w:ascii="DejaVu Sans" w:hAnsi="DejaVu Sans"/>
                <w:b w:val="0"/>
                <w:i w:val="0"/>
                <w:color w:val="000000"/>
                <w:sz w:val="21"/>
              </w:rPr>
              <w:t>Инновационные решения</w:t>
            </w:r>
          </w:p>
        </w:tc>
        <w:tc>
          <w:tcPr>
            <w:tcW w:type="dxa" w:w="1560"/>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pPr>
            <w:r>
              <w:rPr>
                <w:rFonts w:ascii="DejaVu Sans" w:hAnsi="DejaVu Sans"/>
                <w:sz w:val="21"/>
              </w:rPr>
              <w:t>ИТ-Консалтинг</w:t>
            </w:r>
          </w:p>
        </w:tc>
        <w:tc>
          <w:tcPr>
            <w:tcW w:type="dxa" w:w="1697"/>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pPr>
            <w:r>
              <w:rPr>
                <w:rFonts w:ascii="DejaVu Sans" w:hAnsi="DejaVu Sans"/>
                <w:sz w:val="21"/>
              </w:rPr>
              <w:t>150 000 ₽</w:t>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0510"/>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0510"/>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92456970"/>
        <c:axId val="91117211"/>
      </c:barChart>
      <c:catAx>
        <c:axId val="92456970"/>
        <c:scaling>
          <c:orientation val="minMax"/>
        </c:scaling>
        <c:delete val="0"/>
        <c:axPos val="b"/>
        <c:majorTickMark val="out"/>
        <c:minorTickMark val="none"/>
        <c:tickLblPos val="nextTo"/>
        <c:spPr>
          <a:ln>
            <a:solidFill>
              <a:srgbClr val="b3b3b3"/>
            </a:solidFill>
          </a:ln>
        </c:spPr>
        <c:crossAx val="91117211"/>
        <c:crossesAt val="0"/>
        <c:auto val="1"/>
        <c:lblAlgn val="ctr"/>
        <c:lblOffset val="100"/>
      </c:catAx>
      <c:valAx>
        <c:axId val="91117211"/>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92456970"/>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1367256704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