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commentRangeStart w:id="0"/>
    <w:p>
      <w:pPr>
        <w:pStyle w:val="main-heading"/>
        <w:spacing w:before="160" w:after="240"/>
      </w:pPr>
      <w:r>
        <w:t>СТРАТЕГИЧЕСКИЙ ОТЧЕТ РАЗВИТИЯ ИНФРАСТРУКТУРЫ И АВТОМАТИЗАЦИИ 2026</w:t>
      </w:r>
    </w:p>
    <w:p>
      <w:pPr>
        <w:pStyle w:val="mybody"/>
        <w:spacing w:after="200"/>
      </w:pPr>
      <w:r>
        <w:t>Настоящий консолидированный отчет подготовлен по результатам комплексного аудита производственных мощностей и контуров управления технологическими линиями предприятия. Основной задачей программы модернизации на 2026 год является внедрение интеллектуальных систем предиктивной аналитики, снижение аварийности оборудования на 32% и повышение общей энергоэффективности активов.</w:t>
      </w:r>
    </w:p>
    <w:p>
      <w:pPr>
        <w:pStyle w:val="main-heading"/>
        <w:spacing w:before="240" w:after="120"/>
      </w:pPr>
      <w:r>
        <w:t>1. Ключевые технологические приоритеты</w:t>
      </w:r>
    </w:p>
    <w:p>
      <w:pPr>
        <w:pStyle w:val="ListParagraph"/>
        <w:spacing w:after="60"/>
        <w:ind w:left="432" w:hanging="259"/>
      </w:pPr>
      <w:r>
        <w:rPr>
          <w:b/>
          <w:color w:val="1B6573"/>
        </w:rPr>
        <w:t xml:space="preserve">•  </w:t>
      </w:r>
      <w:r>
        <w:t>Развертывание промышленного интернета вещей (IIoT) на насосных и компрессорных агрегатах;</w:t>
      </w:r>
    </w:p>
    <w:p>
      <w:pPr>
        <w:pStyle w:val="ListParagraph"/>
        <w:spacing w:after="60"/>
        <w:ind w:left="432" w:hanging="259"/>
      </w:pPr>
      <w:r>
        <w:rPr>
          <w:b/>
          <w:color w:val="1B6573"/>
        </w:rPr>
        <w:t xml:space="preserve">•  </w:t>
      </w:r>
      <w:r>
        <w:t>Автоматизация контроля качества сварных соединений на базе машинного зрения высокого разрешения;</w:t>
      </w:r>
    </w:p>
    <w:p>
      <w:pPr>
        <w:pStyle w:val="ListParagraph"/>
        <w:spacing w:after="60"/>
        <w:ind w:left="432" w:hanging="259"/>
      </w:pPr>
      <w:r>
        <w:rPr>
          <w:b/>
          <w:color w:val="1B6573"/>
        </w:rPr>
        <w:t xml:space="preserve">•  </w:t>
      </w:r>
      <w:r>
        <w:t>Внедрение цифровых двойников технологических контуров для имитационного моделирования пиковых нагрузок;</w:t>
      </w:r>
    </w:p>
    <w:p>
      <w:pPr>
        <w:pStyle w:val="ListParagraph"/>
        <w:spacing w:after="60"/>
        <w:ind w:left="432" w:hanging="259"/>
      </w:pPr>
      <w:r>
        <w:rPr>
          <w:b/>
          <w:color w:val="1B6573"/>
        </w:rPr>
        <w:t xml:space="preserve">•  </w:t>
      </w:r>
      <w:r>
        <w:t>Оптимизация материально-технического снабжения и переход на предиктивный заказ запасных частей.</w:t>
      </w:r>
    </w:p>
    <w:p>
      <w:pPr>
        <w:pStyle w:val="main-heading"/>
        <w:spacing w:before="240" w:after="120"/>
      </w:pPr>
      <w:r>
        <w:t>2. Этапы дорожной карты внедрения</w:t>
      </w:r>
    </w:p>
    <w:p>
      <w:pPr>
        <w:pStyle w:val="ListParagraph"/>
        <w:spacing w:after="60"/>
        <w:ind w:left="432" w:hanging="259"/>
      </w:pPr>
      <w:r>
        <w:rPr>
          <w:b/>
          <w:color w:val="1B6573"/>
        </w:rPr>
        <w:t xml:space="preserve">1. </w:t>
      </w:r>
      <w:r>
        <w:rPr>
          <w:b/>
        </w:rPr>
        <w:t xml:space="preserve">Этап I: </w:t>
      </w:r>
      <w:r>
        <w:t>Проведение детального аудита контуров АСУ ТП и составление карты уязвимостей.</w:t>
      </w:r>
    </w:p>
    <w:p>
      <w:pPr>
        <w:pStyle w:val="ListParagraph"/>
        <w:spacing w:after="60"/>
        <w:ind w:left="432" w:hanging="259"/>
      </w:pPr>
      <w:r>
        <w:rPr>
          <w:b/>
          <w:color w:val="1B6573"/>
        </w:rPr>
        <w:t xml:space="preserve">2. </w:t>
      </w:r>
      <w:r>
        <w:rPr>
          <w:b/>
        </w:rPr>
        <w:t xml:space="preserve">Этап II: </w:t>
      </w:r>
      <w:r>
        <w:t>Поставка, шефмонтаж и пусконаладочные работы серверов телеметрии и граничных шлюзов.</w:t>
      </w:r>
    </w:p>
    <w:p>
      <w:pPr>
        <w:pStyle w:val="ListParagraph"/>
        <w:spacing w:after="60"/>
        <w:ind w:left="432" w:hanging="259"/>
      </w:pPr>
      <w:r>
        <w:rPr>
          <w:b/>
          <w:color w:val="1B6573"/>
        </w:rPr>
        <w:t xml:space="preserve">3. </w:t>
      </w:r>
      <w:r>
        <w:rPr>
          <w:b/>
        </w:rPr>
        <w:t xml:space="preserve">Этап III: </w:t>
      </w:r>
      <w:r>
        <w:t>Опытно-промышленная эксплуатация, калибровка нейросетевых моделей и сертификация контура безопасности.</w:t>
      </w:r>
    </w:p>
    <w:p>
      <w:pPr>
        <w:pStyle w:val="ListParagraph"/>
        <w:spacing w:after="60"/>
        <w:ind w:left="432" w:hanging="259"/>
      </w:pPr>
      <w:r>
        <w:rPr>
          <w:b/>
          <w:color w:val="1B6573"/>
        </w:rPr>
        <w:t xml:space="preserve">4. </w:t>
      </w:r>
      <w:r>
        <w:rPr>
          <w:b/>
        </w:rPr>
        <w:t xml:space="preserve">Этап IV: </w:t>
      </w:r>
      <w:r>
        <w:t>Ввод в промышленную эксплуатацию и аттестация инженерно-технического персонала.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664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6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ybody"/>
        <w:spacing w:after="280"/>
        <w:jc w:val="center"/>
      </w:pPr>
      <w:r>
        <w:rPr>
          <w:i/>
          <w:color w:val="555555"/>
          <w:sz w:val="19"/>
        </w:rPr>
        <w:t>Рис. 1. Динамика показателей производительности и сокращения простоев оборудования в цикле 2026 г.</w:t>
      </w:r>
    </w:p>
    <w:p>
      <w:pPr>
        <w:pStyle w:val="main-heading"/>
        <w:spacing w:before="240" w:after="120"/>
      </w:pPr>
      <w:r>
        <w:t>3. Сводный бюджет модернизации ключевых участков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B6573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B6573"/>
              <w:bottom w:val="single" w:sz="6" w:space="0" w:color="1B6573"/>
              <w:left w:val="single" w:sz="6" w:space="0" w:color="1B6573"/>
              <w:right w:val="single" w:sz="6" w:space="0" w:color="1B657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744"/>
            <w:shd w:val="clear" w:color="auto" w:fill="1B6573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B6573"/>
              <w:bottom w:val="single" w:sz="6" w:space="0" w:color="1B6573"/>
              <w:left w:val="single" w:sz="6" w:space="0" w:color="1B6573"/>
              <w:right w:val="single" w:sz="6" w:space="0" w:color="1B657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Производственный контур</w:t>
            </w:r>
          </w:p>
        </w:tc>
        <w:tc>
          <w:tcPr>
            <w:tcW w:type="dxa" w:w="2736"/>
            <w:shd w:val="clear" w:color="auto" w:fill="1B6573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B6573"/>
              <w:bottom w:val="single" w:sz="6" w:space="0" w:color="1B6573"/>
              <w:left w:val="single" w:sz="6" w:space="0" w:color="1B6573"/>
              <w:right w:val="single" w:sz="6" w:space="0" w:color="1B657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Статус внедрения</w:t>
            </w:r>
          </w:p>
        </w:tc>
        <w:tc>
          <w:tcPr>
            <w:tcW w:type="dxa" w:w="2304"/>
            <w:shd w:val="clear" w:color="auto" w:fill="1B6573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B6573"/>
              <w:bottom w:val="single" w:sz="6" w:space="0" w:color="1B6573"/>
              <w:left w:val="single" w:sz="6" w:space="0" w:color="1B6573"/>
              <w:right w:val="single" w:sz="6" w:space="0" w:color="1B657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Бюджет (₽)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Цех термообработки №2</w:t>
            </w:r>
          </w:p>
        </w:tc>
        <w:tc>
          <w:tcPr>
            <w:tcW w:type="dxa" w:w="27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Пилотная эксплуатация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14 250 000 ₽</w:t>
            </w:r>
          </w:p>
        </w:tc>
      </w:tr>
      <w:tr>
        <w:tc>
          <w:tcPr>
            <w:tcW w:type="dxa" w:w="864"/>
            <w:shd w:val="clear" w:color="auto" w:fill="F4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744"/>
            <w:shd w:val="clear" w:color="auto" w:fill="F4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Автоматическая линия штамповки</w:t>
            </w:r>
          </w:p>
        </w:tc>
        <w:tc>
          <w:tcPr>
            <w:tcW w:type="dxa" w:w="2736"/>
            <w:shd w:val="clear" w:color="auto" w:fill="F4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Монтаж датчиков IIoT</w:t>
            </w:r>
          </w:p>
        </w:tc>
        <w:tc>
          <w:tcPr>
            <w:tcW w:type="dxa" w:w="2304"/>
            <w:shd w:val="clear" w:color="auto" w:fill="F4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9 800 000 ₽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Складской роботизированный комплекс</w:t>
            </w:r>
          </w:p>
        </w:tc>
        <w:tc>
          <w:tcPr>
            <w:tcW w:type="dxa" w:w="27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Закупка оборудования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6 400 000 ₽</w:t>
            </w:r>
          </w:p>
        </w:tc>
      </w:tr>
    </w:tbl>
    <w:p>
      <w:r>
        <w:br w:type="page"/>
      </w:r>
    </w:p>
    <w:p>
      <w:pPr>
        <w:pStyle w:val="main-heading"/>
        <w:spacing w:before="280" w:after="120"/>
      </w:pPr>
      <w:r>
        <w:t>4. Матрица эффективности оборудования (KPIs) и схема датчиков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6768"/>
            <w:gridSpan w:val="3"/>
            <w:shd w:val="clear" w:color="auto" w:fill="2C3E5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C3E50"/>
              <w:bottom w:val="single" w:sz="6" w:space="0" w:color="2C3E50"/>
              <w:left w:val="single" w:sz="6" w:space="0" w:color="2C3E50"/>
              <w:right w:val="single" w:sz="6" w:space="0" w:color="2C3E5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ПАРАМЕТРЫ ТЕХНОЛОГИЧЕСКОГО КОНТУРА</w:t>
            </w:r>
          </w:p>
        </w:tc>
        <w:tc>
          <w:tcPr>
            <w:tcW w:type="dxa" w:w="2880"/>
            <w:shd w:val="clear" w:color="auto" w:fill="2C3E5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C3E50"/>
              <w:bottom w:val="single" w:sz="6" w:space="0" w:color="2C3E50"/>
              <w:left w:val="single" w:sz="6" w:space="0" w:color="2C3E50"/>
              <w:right w:val="single" w:sz="6" w:space="0" w:color="2C3E5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СХЕМА РАЗМЕЩЕНИЯ</w:t>
            </w:r>
          </w:p>
        </w:tc>
      </w:tr>
      <w:tr>
        <w:tc>
          <w:tcPr>
            <w:tcW w:type="dxa" w:w="2304"/>
            <w:shd w:val="clear" w:color="auto" w:fill="EAECEE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Агрегат</w:t>
            </w:r>
          </w:p>
        </w:tc>
        <w:tc>
          <w:tcPr>
            <w:tcW w:type="dxa" w:w="2592"/>
            <w:shd w:val="clear" w:color="auto" w:fill="EAECEE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Контрольная точка</w:t>
            </w:r>
          </w:p>
        </w:tc>
        <w:tc>
          <w:tcPr>
            <w:tcW w:type="dxa" w:w="1872"/>
            <w:shd w:val="clear" w:color="auto" w:fill="EAECEE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Целевой КПД</w:t>
            </w:r>
          </w:p>
        </w:tc>
        <w:tc>
          <w:tcPr>
            <w:tcW w:type="dxa" w:w="2880"/>
            <w:vMerge w:val="restart"/>
            <w:vAlign w:val="center"/>
            <w:shd w:val="clear" w:color="auto" w:fill="FAFA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7230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723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color w:val="666666"/>
                <w:sz w:val="16"/>
              </w:rPr>
              <w:t>Сенсорный контур №4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r>
              <w:rPr>
                <w:sz w:val="18"/>
              </w:rPr>
              <w:t>Турбогенератор ТГ-1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r>
              <w:rPr>
                <w:sz w:val="18"/>
              </w:rPr>
              <w:t>Виброактивность подшипника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sz w:val="18"/>
              </w:rPr>
              <w:t>98.7%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304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r>
              <w:rPr>
                <w:sz w:val="18"/>
              </w:rPr>
              <w:t>Насос питательный НП-4</w:t>
            </w:r>
          </w:p>
        </w:tc>
        <w:tc>
          <w:tcPr>
            <w:tcW w:type="dxa" w:w="2592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r>
              <w:rPr>
                <w:sz w:val="18"/>
              </w:rPr>
              <w:t>Давление в гидросистеме</w:t>
            </w:r>
          </w:p>
        </w:tc>
        <w:tc>
          <w:tcPr>
            <w:tcW w:type="dxa" w:w="1872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sz w:val="18"/>
              </w:rPr>
              <w:t>99.2%</w:t>
            </w:r>
          </w:p>
        </w:tc>
        <w:tc>
          <w:tcPr>
            <w:tcW w:type="dxa" w:w="2880"/>
            <w:vMerge/>
          </w:tcPr>
          <w:p/>
        </w:tc>
      </w:tr>
    </w:tbl>
    <w:p>
      <w:pPr>
        <w:spacing w:before="160" w:after="280"/>
        <w:ind w:left="360" w:right="360"/>
        <w:pBdr>
          <w:left w:val="single" w:sz="18" w:space="8" w:color="1B6573"/>
        </w:pBdr>
        <w:shd w:val="clear" w:color="auto" w:fill="F0F7F7"/>
      </w:pPr>
      <w:r>
        <w:rPr>
          <w:b/>
          <w:color w:val="1B6573"/>
          <w:sz w:val="18"/>
        </w:rPr>
        <w:t xml:space="preserve">Примечание к Таблице №2: </w:t>
      </w:r>
      <w:r>
        <w:rPr>
          <w:i/>
          <w:color w:val="444444"/>
          <w:sz w:val="17"/>
        </w:rPr>
        <w:t>Все приведенные параметры эффективности верифицированы согласно международному регламенту ISO-9001:2015 и подтверждены калибровочными протоколами заводских испытаний. Графическая схема в правой объединенной ячейке таблицы иллюстрирует размещение термопар и вибродатчиков в реальном масштабе времени.</w:t>
      </w:r>
    </w:p>
    <w:sectPr w:rsidR="00E640E1" w:rsidRPr="00F2381C" w:rsidSect="00B31388">
      <w:headerReference w:type="default" r:id="rId19"/>
      <w:footerReference w:type="default" r:id="rId20"/>
      <w:pgSz w:w="12240" w:h="15840" w:code="1"/>
      <w:pgMar w:top="1152" w:right="1296" w:bottom="1152" w:left="1296" w:header="567" w:footer="415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onstantin Ivanov" w:date="2026-09-11T13:41:00Z" w:initials="KI">
    <w:p w14:paraId="6B7EA6F2" w14:textId="77777777" w:rsidR="007A13C3" w:rsidRDefault="007A13C3" w:rsidP="007A13C3">
      <w:pPr>
        <w:pStyle w:val="CommentText"/>
      </w:pPr>
      <w:r>
        <w:rPr>
          <w:rStyle w:val="CommentReference"/>
        </w:rPr>
        <w:annotationRef/>
      </w:r>
      <w:r>
        <w:t>My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7EA6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E593C5" w16cex:dateUtc="2026-09-11T08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7EA6F2" w16cid:durableId="14E593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C54A8" w14:textId="77777777" w:rsidR="002C5870" w:rsidRDefault="002C5870" w:rsidP="00701FC9">
      <w:pPr>
        <w:spacing w:after="0" w:line="240" w:lineRule="auto"/>
      </w:pPr>
      <w:r>
        <w:separator/>
      </w:r>
    </w:p>
  </w:endnote>
  <w:endnote w:type="continuationSeparator" w:id="0">
    <w:p w14:paraId="2105F942" w14:textId="77777777" w:rsidR="002C5870" w:rsidRDefault="002C5870" w:rsidP="00701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480"/>
      <w:gridCol w:w="3168"/>
    </w:tblGrid>
    <w:tr>
      <w:tc>
        <w:tcPr>
          <w:tcW w:type="dxa" w:w="4824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685800" cy="22884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22884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hAnsi="Calibri"/>
              <w:i/>
              <w:color w:val="777777"/>
              <w:sz w:val="16"/>
            </w:rPr>
            <w:t xml:space="preserve">  Конфиденциально • Внутренний корпоративный отчет</w:t>
          </w:r>
        </w:p>
      </w:tc>
      <w:tc>
        <w:tcPr>
          <w:tcW w:type="dxa" w:w="4824"/>
          <w:vAlign w:val="center"/>
        </w:tcPr>
        <w:p>
          <w:pPr>
            <w:jc w:val="right"/>
          </w:pPr>
          <w:r>
            <w:rPr>
              <w:rFonts w:ascii="Calibri" w:hAnsi="Calibri"/>
              <w:color w:val="777777"/>
              <w:sz w:val="16"/>
            </w:rPr>
            <w:t xml:space="preserve">Редакция 2026 • Стр. </w:t>
          </w:r>
          <w:fldSimple w:instr="PAGE"/>
          <w:r>
            <w:rPr>
              <w:rFonts w:ascii="Calibri" w:hAnsi="Calibri"/>
              <w:color w:val="777777"/>
              <w:sz w:val="16"/>
            </w:rPr>
            <w:t xml:space="preserve"> из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B3CB9" w14:textId="77777777" w:rsidR="002C5870" w:rsidRDefault="002C5870" w:rsidP="00701FC9">
      <w:pPr>
        <w:spacing w:after="0" w:line="240" w:lineRule="auto"/>
      </w:pPr>
      <w:r>
        <w:separator/>
      </w:r>
    </w:p>
  </w:footnote>
  <w:footnote w:type="continuationSeparator" w:id="0">
    <w:p w14:paraId="2216B410" w14:textId="77777777" w:rsidR="002C5870" w:rsidRDefault="002C5870" w:rsidP="00701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768"/>
      <w:gridCol w:w="2880"/>
    </w:tblGrid>
    <w:tr>
      <w:tc>
        <w:tcPr>
          <w:tcW w:type="dxa" w:w="4824"/>
          <w:vAlign w:val="center"/>
        </w:tcPr>
        <w:p>
          <w:r>
            <w:rPr>
              <w:rFonts w:ascii="Calibri" w:hAnsi="Calibri"/>
              <w:b/>
              <w:color w:val="1B6573"/>
              <w:sz w:val="17"/>
            </w:rPr>
            <w:t>ПАО «ЭНЕРГИЯ И РАЗВИТИЕ»</w:t>
            <w:br/>
            <w:t>ДЕПАРТАМЕНТ СТРАТЕГИЧЕСКОГО ПЛАНИРОВАНИЯ</w:t>
          </w:r>
        </w:p>
      </w:tc>
      <w:tc>
        <w:tcPr>
          <w:tcW w:type="dxa" w:w="4824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371600" cy="457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57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3728"/>
    <w:multiLevelType w:val="hybridMultilevel"/>
    <w:tmpl w:val="667AB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B76E0"/>
    <w:multiLevelType w:val="hybridMultilevel"/>
    <w:tmpl w:val="8000F732"/>
    <w:lvl w:ilvl="0" w:tplc="F4B462C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58F7C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395308">
    <w:abstractNumId w:val="0"/>
  </w:num>
  <w:num w:numId="2" w16cid:durableId="206039406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onstantin Ivanov">
    <w15:presenceInfo w15:providerId="Windows Live" w15:userId="a9e4bbab2f2c83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17"/>
    <w:rsid w:val="00011BEC"/>
    <w:rsid w:val="000274A1"/>
    <w:rsid w:val="00056EDC"/>
    <w:rsid w:val="00080859"/>
    <w:rsid w:val="000902DE"/>
    <w:rsid w:val="000A10BD"/>
    <w:rsid w:val="000A4EB9"/>
    <w:rsid w:val="000A613F"/>
    <w:rsid w:val="000C3C1D"/>
    <w:rsid w:val="000E1CF2"/>
    <w:rsid w:val="000E5836"/>
    <w:rsid w:val="000F6F96"/>
    <w:rsid w:val="000F7F89"/>
    <w:rsid w:val="001043D8"/>
    <w:rsid w:val="00107D1A"/>
    <w:rsid w:val="00110897"/>
    <w:rsid w:val="001110D9"/>
    <w:rsid w:val="00141A5B"/>
    <w:rsid w:val="001469C6"/>
    <w:rsid w:val="001528F6"/>
    <w:rsid w:val="00176566"/>
    <w:rsid w:val="00177016"/>
    <w:rsid w:val="001915E3"/>
    <w:rsid w:val="00196D60"/>
    <w:rsid w:val="00197328"/>
    <w:rsid w:val="001C0A07"/>
    <w:rsid w:val="001C18AA"/>
    <w:rsid w:val="001C2FD6"/>
    <w:rsid w:val="001C3530"/>
    <w:rsid w:val="001D7882"/>
    <w:rsid w:val="001E0D87"/>
    <w:rsid w:val="001F5F4C"/>
    <w:rsid w:val="00201A83"/>
    <w:rsid w:val="002117C2"/>
    <w:rsid w:val="00233DA1"/>
    <w:rsid w:val="0024215A"/>
    <w:rsid w:val="0024311F"/>
    <w:rsid w:val="002510AF"/>
    <w:rsid w:val="002631A5"/>
    <w:rsid w:val="0027001D"/>
    <w:rsid w:val="0028470E"/>
    <w:rsid w:val="00286837"/>
    <w:rsid w:val="0029088B"/>
    <w:rsid w:val="002A1FDF"/>
    <w:rsid w:val="002B2BFD"/>
    <w:rsid w:val="002C488F"/>
    <w:rsid w:val="002C5870"/>
    <w:rsid w:val="002C7522"/>
    <w:rsid w:val="002D2DC9"/>
    <w:rsid w:val="002E0232"/>
    <w:rsid w:val="002F3FB9"/>
    <w:rsid w:val="00316924"/>
    <w:rsid w:val="00324958"/>
    <w:rsid w:val="00324E91"/>
    <w:rsid w:val="00332F45"/>
    <w:rsid w:val="00333928"/>
    <w:rsid w:val="00385FB1"/>
    <w:rsid w:val="003938FC"/>
    <w:rsid w:val="00397648"/>
    <w:rsid w:val="003B6CE5"/>
    <w:rsid w:val="003B6F3D"/>
    <w:rsid w:val="003C4A74"/>
    <w:rsid w:val="003C5C8C"/>
    <w:rsid w:val="004069AE"/>
    <w:rsid w:val="00413C38"/>
    <w:rsid w:val="004152D5"/>
    <w:rsid w:val="00420640"/>
    <w:rsid w:val="00435470"/>
    <w:rsid w:val="00441786"/>
    <w:rsid w:val="004476C2"/>
    <w:rsid w:val="00457081"/>
    <w:rsid w:val="004745D1"/>
    <w:rsid w:val="0047794C"/>
    <w:rsid w:val="00481009"/>
    <w:rsid w:val="00487C7B"/>
    <w:rsid w:val="00495651"/>
    <w:rsid w:val="004B27D1"/>
    <w:rsid w:val="004C6CBC"/>
    <w:rsid w:val="004D71A4"/>
    <w:rsid w:val="004E4E44"/>
    <w:rsid w:val="00513036"/>
    <w:rsid w:val="0054328E"/>
    <w:rsid w:val="00565767"/>
    <w:rsid w:val="00572509"/>
    <w:rsid w:val="005835BF"/>
    <w:rsid w:val="005847A7"/>
    <w:rsid w:val="005D07D9"/>
    <w:rsid w:val="005D1D77"/>
    <w:rsid w:val="005E6F41"/>
    <w:rsid w:val="005F2A22"/>
    <w:rsid w:val="00621C4A"/>
    <w:rsid w:val="00635C39"/>
    <w:rsid w:val="00637A98"/>
    <w:rsid w:val="006405DF"/>
    <w:rsid w:val="00640D8B"/>
    <w:rsid w:val="00666B8E"/>
    <w:rsid w:val="0067632B"/>
    <w:rsid w:val="006816B1"/>
    <w:rsid w:val="0068739E"/>
    <w:rsid w:val="00687AD8"/>
    <w:rsid w:val="00692E1A"/>
    <w:rsid w:val="006B2B41"/>
    <w:rsid w:val="006B4762"/>
    <w:rsid w:val="006B74B0"/>
    <w:rsid w:val="006B77E1"/>
    <w:rsid w:val="006C6056"/>
    <w:rsid w:val="006C6278"/>
    <w:rsid w:val="006D0256"/>
    <w:rsid w:val="006D17F9"/>
    <w:rsid w:val="006E37A8"/>
    <w:rsid w:val="006F0716"/>
    <w:rsid w:val="006F0BB4"/>
    <w:rsid w:val="006F57DF"/>
    <w:rsid w:val="006F5E31"/>
    <w:rsid w:val="00701FC9"/>
    <w:rsid w:val="007166D5"/>
    <w:rsid w:val="00730C7A"/>
    <w:rsid w:val="00741D7F"/>
    <w:rsid w:val="00742BCC"/>
    <w:rsid w:val="0075080B"/>
    <w:rsid w:val="00757348"/>
    <w:rsid w:val="00773DB5"/>
    <w:rsid w:val="00774629"/>
    <w:rsid w:val="00782A4D"/>
    <w:rsid w:val="00784F0A"/>
    <w:rsid w:val="00793FEA"/>
    <w:rsid w:val="007A13C3"/>
    <w:rsid w:val="007A4B60"/>
    <w:rsid w:val="007C105E"/>
    <w:rsid w:val="007C7677"/>
    <w:rsid w:val="00820DCC"/>
    <w:rsid w:val="00825FF9"/>
    <w:rsid w:val="00826D06"/>
    <w:rsid w:val="008523A9"/>
    <w:rsid w:val="00865300"/>
    <w:rsid w:val="00866A1D"/>
    <w:rsid w:val="00892470"/>
    <w:rsid w:val="00893EA8"/>
    <w:rsid w:val="0089738A"/>
    <w:rsid w:val="008A31E1"/>
    <w:rsid w:val="008B33C4"/>
    <w:rsid w:val="008B3466"/>
    <w:rsid w:val="008E3D74"/>
    <w:rsid w:val="008F3005"/>
    <w:rsid w:val="00900AC9"/>
    <w:rsid w:val="00905726"/>
    <w:rsid w:val="00924FC2"/>
    <w:rsid w:val="009251A8"/>
    <w:rsid w:val="009374E3"/>
    <w:rsid w:val="009460D1"/>
    <w:rsid w:val="00953E0B"/>
    <w:rsid w:val="00964931"/>
    <w:rsid w:val="00966C7C"/>
    <w:rsid w:val="00976D10"/>
    <w:rsid w:val="009956A4"/>
    <w:rsid w:val="00997298"/>
    <w:rsid w:val="009A6BD2"/>
    <w:rsid w:val="009C4300"/>
    <w:rsid w:val="009C76AE"/>
    <w:rsid w:val="009D13DE"/>
    <w:rsid w:val="00A053E2"/>
    <w:rsid w:val="00A06B20"/>
    <w:rsid w:val="00A11C0F"/>
    <w:rsid w:val="00A94A81"/>
    <w:rsid w:val="00A94D65"/>
    <w:rsid w:val="00AC2178"/>
    <w:rsid w:val="00AD3D65"/>
    <w:rsid w:val="00AE069A"/>
    <w:rsid w:val="00AE15B4"/>
    <w:rsid w:val="00AE33A6"/>
    <w:rsid w:val="00AE7578"/>
    <w:rsid w:val="00AF7418"/>
    <w:rsid w:val="00B01CF5"/>
    <w:rsid w:val="00B150BE"/>
    <w:rsid w:val="00B22643"/>
    <w:rsid w:val="00B31388"/>
    <w:rsid w:val="00B330A1"/>
    <w:rsid w:val="00B37FDB"/>
    <w:rsid w:val="00B45BCF"/>
    <w:rsid w:val="00B71DF9"/>
    <w:rsid w:val="00B80F87"/>
    <w:rsid w:val="00B87B53"/>
    <w:rsid w:val="00B94D19"/>
    <w:rsid w:val="00BE621C"/>
    <w:rsid w:val="00BF7B80"/>
    <w:rsid w:val="00C078C9"/>
    <w:rsid w:val="00C16850"/>
    <w:rsid w:val="00C20CA0"/>
    <w:rsid w:val="00C26C5E"/>
    <w:rsid w:val="00C455D6"/>
    <w:rsid w:val="00C50698"/>
    <w:rsid w:val="00C51576"/>
    <w:rsid w:val="00C6587B"/>
    <w:rsid w:val="00C754CE"/>
    <w:rsid w:val="00C83231"/>
    <w:rsid w:val="00CB01A8"/>
    <w:rsid w:val="00CD0D28"/>
    <w:rsid w:val="00CD6829"/>
    <w:rsid w:val="00CE0E59"/>
    <w:rsid w:val="00CE6487"/>
    <w:rsid w:val="00D03CA2"/>
    <w:rsid w:val="00D10521"/>
    <w:rsid w:val="00D204DC"/>
    <w:rsid w:val="00D3245A"/>
    <w:rsid w:val="00D4662E"/>
    <w:rsid w:val="00D46D46"/>
    <w:rsid w:val="00D61609"/>
    <w:rsid w:val="00D75286"/>
    <w:rsid w:val="00DA36F7"/>
    <w:rsid w:val="00DB1E2B"/>
    <w:rsid w:val="00DB31DB"/>
    <w:rsid w:val="00DB5703"/>
    <w:rsid w:val="00DB64EF"/>
    <w:rsid w:val="00DD16C6"/>
    <w:rsid w:val="00DD746D"/>
    <w:rsid w:val="00DE7BA3"/>
    <w:rsid w:val="00DF7335"/>
    <w:rsid w:val="00E02BF2"/>
    <w:rsid w:val="00E0681D"/>
    <w:rsid w:val="00E06A76"/>
    <w:rsid w:val="00E10EFE"/>
    <w:rsid w:val="00E25617"/>
    <w:rsid w:val="00E32611"/>
    <w:rsid w:val="00E36F99"/>
    <w:rsid w:val="00E52C7D"/>
    <w:rsid w:val="00E640E1"/>
    <w:rsid w:val="00E64F78"/>
    <w:rsid w:val="00E716DA"/>
    <w:rsid w:val="00E8498B"/>
    <w:rsid w:val="00E95FEE"/>
    <w:rsid w:val="00EA2ADA"/>
    <w:rsid w:val="00EA5E1F"/>
    <w:rsid w:val="00EB5BDD"/>
    <w:rsid w:val="00EB7991"/>
    <w:rsid w:val="00ED4F52"/>
    <w:rsid w:val="00ED6FF4"/>
    <w:rsid w:val="00EE6792"/>
    <w:rsid w:val="00F10160"/>
    <w:rsid w:val="00F11D69"/>
    <w:rsid w:val="00F2381C"/>
    <w:rsid w:val="00F2612F"/>
    <w:rsid w:val="00F31948"/>
    <w:rsid w:val="00F31CE1"/>
    <w:rsid w:val="00F361EF"/>
    <w:rsid w:val="00F370F6"/>
    <w:rsid w:val="00F37918"/>
    <w:rsid w:val="00F53E03"/>
    <w:rsid w:val="00F65800"/>
    <w:rsid w:val="00F71773"/>
    <w:rsid w:val="00F740C9"/>
    <w:rsid w:val="00F759FF"/>
    <w:rsid w:val="00F96BA1"/>
    <w:rsid w:val="00FA4B4A"/>
    <w:rsid w:val="00FB1633"/>
    <w:rsid w:val="00FB357D"/>
    <w:rsid w:val="00FB5157"/>
    <w:rsid w:val="00FB75AF"/>
    <w:rsid w:val="00FE0E2F"/>
    <w:rsid w:val="00FE2CC1"/>
    <w:rsid w:val="00FE44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7AE84"/>
  <w15:chartTrackingRefBased/>
  <w15:docId w15:val="{9653FF76-BDD5-4B94-B09F-D7C417C8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1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FC9"/>
  </w:style>
  <w:style w:type="paragraph" w:styleId="Footer">
    <w:name w:val="footer"/>
    <w:basedOn w:val="Normal"/>
    <w:link w:val="FooterChar"/>
    <w:uiPriority w:val="99"/>
    <w:unhideWhenUsed/>
    <w:rsid w:val="00701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FC9"/>
  </w:style>
  <w:style w:type="paragraph" w:customStyle="1" w:styleId="main-heading">
    <w:name w:val="main-heading"/>
    <w:basedOn w:val="Normal"/>
    <w:link w:val="main-headingChar"/>
    <w:qFormat/>
    <w:rsid w:val="00B31388"/>
    <w:pPr>
      <w:pBdr>
        <w:bottom w:val="single" w:sz="4" w:space="1" w:color="FE9102"/>
      </w:pBdr>
      <w:spacing w:after="480"/>
    </w:pPr>
    <w:rPr>
      <w:caps/>
      <w:color w:val="4F4F51"/>
      <w:sz w:val="48"/>
      <w:szCs w:val="48"/>
    </w:rPr>
  </w:style>
  <w:style w:type="paragraph" w:customStyle="1" w:styleId="mybody">
    <w:name w:val="mybody"/>
    <w:basedOn w:val="Normal"/>
    <w:link w:val="mybodyChar"/>
    <w:qFormat/>
    <w:rsid w:val="00DB31DB"/>
    <w:pPr>
      <w:spacing w:line="276" w:lineRule="auto"/>
      <w:ind w:left="3960"/>
    </w:pPr>
    <w:rPr>
      <w:rFonts w:cstheme="minorHAnsi"/>
      <w:noProof/>
      <w:color w:val="1A1A1A"/>
      <w:sz w:val="24"/>
      <w:szCs w:val="24"/>
    </w:rPr>
  </w:style>
  <w:style w:type="character" w:customStyle="1" w:styleId="main-headingChar">
    <w:name w:val="main-heading Char"/>
    <w:basedOn w:val="DefaultParagraphFont"/>
    <w:link w:val="main-heading"/>
    <w:rsid w:val="00B31388"/>
    <w:rPr>
      <w:caps/>
      <w:color w:val="4F4F51"/>
      <w:sz w:val="48"/>
      <w:szCs w:val="48"/>
    </w:rPr>
  </w:style>
  <w:style w:type="paragraph" w:styleId="ListParagraph">
    <w:name w:val="List Paragraph"/>
    <w:basedOn w:val="Normal"/>
    <w:uiPriority w:val="34"/>
    <w:qFormat/>
    <w:rsid w:val="004E4E44"/>
    <w:pPr>
      <w:ind w:left="720"/>
      <w:contextualSpacing/>
    </w:pPr>
  </w:style>
  <w:style w:type="character" w:customStyle="1" w:styleId="mybodyChar">
    <w:name w:val="mybody Char"/>
    <w:basedOn w:val="DefaultParagraphFont"/>
    <w:link w:val="mybody"/>
    <w:rsid w:val="00DB31DB"/>
    <w:rPr>
      <w:rFonts w:cstheme="minorHAnsi"/>
      <w:noProof/>
      <w:color w:val="1A1A1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80F87"/>
    <w:rPr>
      <w:color w:val="666666"/>
    </w:rPr>
  </w:style>
  <w:style w:type="paragraph" w:styleId="NoSpacing">
    <w:name w:val="No Spacing"/>
    <w:uiPriority w:val="1"/>
    <w:qFormat/>
    <w:rsid w:val="00784F0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A13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13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13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13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13C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6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microsoft.com/office/2011/relationships/commentsExtended" Target="commentsExtended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4.png"/><Relationship Id="rId22" Type="http://schemas.microsoft.com/office/2011/relationships/people" Target="peop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CB7FE-1BB6-4E79-AB23-CBA69F9319C4}"/>
      </w:docPartPr>
      <w:docPartBody>
        <w:p w:rsidR="000A54F8" w:rsidRDefault="000A54F8">
          <w:r w:rsidRPr="008C314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F8"/>
    <w:rsid w:val="000A54F8"/>
    <w:rsid w:val="00141712"/>
    <w:rsid w:val="00201A83"/>
    <w:rsid w:val="00487C7B"/>
    <w:rsid w:val="004C2A0A"/>
    <w:rsid w:val="00635C39"/>
    <w:rsid w:val="00724553"/>
    <w:rsid w:val="00A06B20"/>
    <w:rsid w:val="00DB7D68"/>
    <w:rsid w:val="00ED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54F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8680AC-60F8-4DDA-B127-85F98DBE55B5}">
  <we:reference id="wa104380955" version="3.16.2.1" store="en-US" storeType="OMEX"/>
  <we:alternateReferences>
    <we:reference id="WA104380955" version="3.16.2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1546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Konstantin Ivanov</cp:lastModifiedBy>
  <cp:revision>10</cp:revision>
  <dcterms:created xsi:type="dcterms:W3CDTF">2024-11-02T13:57:00Z</dcterms:created>
  <dcterms:modified xsi:type="dcterms:W3CDTF">2026-09-11T08:41:00Z</dcterms:modified>
</cp:coreProperties>
</file>