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Financial Summary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Quarter</w:t>
            </w:r>
          </w:p>
        </w:tc>
        <w:tc>
          <w:tcPr>
            <w:tcW w:type="dxa" w:w="2880"/>
          </w:tcPr>
          <w:p>
            <w:r>
              <w:t>Revenue ($M)</w:t>
            </w:r>
          </w:p>
        </w:tc>
        <w:tc>
          <w:tcPr>
            <w:tcW w:type="dxa" w:w="2880"/>
          </w:tcPr>
          <w:p>
            <w:r>
              <w:t>Growth (%)</w:t>
            </w:r>
          </w:p>
        </w:tc>
      </w:tr>
      <w:tr>
        <w:tc>
          <w:tcPr>
            <w:tcW w:type="dxa" w:w="2880"/>
          </w:tcPr>
          <w:p>
            <w:r>
              <w:t>Q1 2025</w:t>
            </w:r>
          </w:p>
        </w:tc>
        <w:tc>
          <w:tcPr>
            <w:tcW w:type="dxa" w:w="2880"/>
          </w:tcPr>
          <w:p>
            <w:r>
              <w:t>12.4</w:t>
            </w:r>
          </w:p>
        </w:tc>
        <w:tc>
          <w:tcPr>
            <w:tcW w:type="dxa" w:w="2880"/>
          </w:tcPr>
          <w:p>
            <w:r>
              <w:t>+8.5%</w:t>
            </w:r>
          </w:p>
        </w:tc>
      </w:tr>
      <w:tr>
        <w:tc>
          <w:tcPr>
            <w:tcW w:type="dxa" w:w="2880"/>
          </w:tcPr>
          <w:p>
            <w:r>
              <w:t>Q2 2025</w:t>
            </w:r>
          </w:p>
        </w:tc>
        <w:tc>
          <w:tcPr>
            <w:tcW w:type="dxa" w:w="2880"/>
          </w:tcPr>
          <w:p>
            <w:r>
              <w:t>15.1</w:t>
            </w:r>
          </w:p>
        </w:tc>
        <w:tc>
          <w:tcPr>
            <w:tcW w:type="dxa" w:w="2880"/>
          </w:tcPr>
          <w:p>
            <w:r>
              <w:t>+21.8%</w:t>
            </w:r>
          </w:p>
        </w:tc>
      </w:tr>
      <w:tr>
        <w:tc>
          <w:tcPr>
            <w:tcW w:type="dxa" w:w="2880"/>
          </w:tcPr>
          <w:p>
            <w:r>
              <w:t>Q3 2025</w:t>
            </w:r>
          </w:p>
        </w:tc>
        <w:tc>
          <w:tcPr>
            <w:tcW w:type="dxa" w:w="2880"/>
          </w:tcPr>
          <w:p>
            <w:r>
              <w:t>14.8</w:t>
            </w:r>
          </w:p>
        </w:tc>
        <w:tc>
          <w:tcPr>
            <w:tcW w:type="dxa" w:w="2880"/>
          </w:tcPr>
          <w:p>
            <w:r>
              <w:t>-2.0%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