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Performance Benchmark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  <w:shd w:val="clear" w:color="auto" w:fill="F2F4F7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strike w:val="0"/>
              </w:rPr>
              <w:t>Компонент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60" w:after="60"/>
              <w:jc w:val="center"/>
            </w:pPr>
            <w:r/>
            <w:r>
              <w:rPr>
                <w:b/>
                <w:i w:val="0"/>
                <w:strike w:val="0"/>
              </w:rPr>
              <w:t>Выравнивание по центру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60" w:after="60"/>
              <w:jc w:val="right"/>
            </w:pPr>
            <w:r/>
            <w:r>
              <w:rPr>
                <w:b/>
                <w:i w:val="0"/>
                <w:strike w:val="0"/>
              </w:rPr>
              <w:t>Показатель, оп/сек</w:t>
            </w:r>
          </w:p>
        </w:tc>
        <w:tc>
          <w:tcPr>
            <w:tcW w:type="dxa" w:w="2160"/>
            <w:shd w:val="clear" w:color="auto" w:fill="F2F4F7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strike w:val="0"/>
              </w:rPr>
              <w:t>Статус выполнения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b/>
                <w:i w:val="0"/>
                <w:strike w:val="0"/>
              </w:rPr>
              <w:t>Ядро парсера AST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strike w:val="0"/>
              </w:rPr>
              <w:t>Централизованно</w:t>
            </w:r>
          </w:p>
        </w:tc>
        <w:tc>
          <w:tcPr>
            <w:tcW w:type="dxa" w:w="2160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i w:val="0"/>
                <w:strike w:val="0"/>
              </w:rPr>
              <w:t>1 450 000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b w:val="0"/>
                <w:i w:val="0"/>
                <w:strike w:val="0"/>
                <w:color w:val="C7254E"/>
                <w:sz w:val="19"/>
              </w:rPr>
              <w:t>Высокая скорость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 w:val="0"/>
                <w:strike w:val="0"/>
              </w:rPr>
              <w:t>Редактор OpenXML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strike w:val="0"/>
              </w:rPr>
              <w:t>Сбалансированно</w:t>
            </w:r>
          </w:p>
        </w:tc>
        <w:tc>
          <w:tcPr>
            <w:tcW w:type="dxa" w:w="2160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i w:val="0"/>
                <w:strike w:val="0"/>
              </w:rPr>
              <w:t>890 000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b w:val="0"/>
                <w:i w:val="0"/>
                <w:strike w:val="0"/>
                <w:color w:val="C7254E"/>
                <w:sz w:val="19"/>
              </w:rPr>
              <w:t>Стабильно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b w:val="0"/>
                <w:i/>
                <w:strike w:val="0"/>
              </w:rPr>
              <w:t>Конвертер PDF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/>
            <w:r>
              <w:rPr>
                <w:b w:val="0"/>
                <w:i w:val="0"/>
                <w:strike w:val="0"/>
              </w:rPr>
              <w:t>Автоматически</w:t>
            </w:r>
          </w:p>
        </w:tc>
        <w:tc>
          <w:tcPr>
            <w:tcW w:type="dxa" w:w="2160"/>
          </w:tcPr>
          <w:p>
            <w:pPr>
              <w:spacing w:before="60" w:after="60"/>
              <w:jc w:val="right"/>
            </w:pPr>
            <w:r/>
            <w:r>
              <w:rPr>
                <w:b w:val="0"/>
                <w:i w:val="0"/>
                <w:strike w:val="0"/>
              </w:rPr>
              <w:t>420 000</w:t>
            </w:r>
          </w:p>
        </w:tc>
        <w:tc>
          <w:tcPr>
            <w:tcW w:type="dxa" w:w="2160"/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b w:val="0"/>
                <w:i w:val="0"/>
                <w:strike w:val="0"/>
                <w:color w:val="C7254E"/>
                <w:sz w:val="19"/>
              </w:rPr>
              <w:t>В пределах нормы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