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качества экспорта в PDF</w:t>
      </w:r>
    </w:p>
    <w:p>
      <w:r>
        <w:t>Проверка символов: «ёлочка», спецзнак № 45/2026, тире — длинное, твердый знак: объём.</w:t>
      </w:r>
    </w:p>
    <w:p>
      <w:pPr>
        <w:pStyle w:val="Heading1"/>
      </w:pPr>
      <w:r>
        <w:t>Спецификация модулей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</w:t>
            </w:r>
          </w:p>
        </w:tc>
        <w:tc>
          <w:tcPr>
            <w:tcW w:type="dxa" w:w="2880"/>
          </w:tcPr>
          <w:p>
            <w:r>
              <w:t>Наименование модуля</w:t>
            </w:r>
          </w:p>
        </w:tc>
        <w:tc>
          <w:tcPr>
            <w:tcW w:type="dxa" w:w="2880"/>
          </w:tcPr>
          <w:p>
            <w:r>
              <w:t>Статус проверки</w:t>
            </w:r>
          </w:p>
        </w:tc>
      </w:tr>
      <w:tr>
        <w:tc>
          <w:tcPr>
            <w:tcW w:type="dxa" w:w="2880"/>
          </w:tcPr>
          <w:p>
            <w:r>
              <w:t>MOD-01</w:t>
            </w:r>
          </w:p>
        </w:tc>
        <w:tc>
          <w:tcPr>
            <w:tcW w:type="dxa" w:w="2880"/>
          </w:tcPr>
          <w:p>
            <w:r>
              <w:t>Ядро OpenXML</w:t>
            </w:r>
          </w:p>
        </w:tc>
        <w:tc>
          <w:tcPr>
            <w:tcW w:type="dxa" w:w="2880"/>
          </w:tcPr>
          <w:p>
            <w:r>
              <w:t>Пройден</w:t>
            </w:r>
          </w:p>
        </w:tc>
      </w:tr>
      <w:tr>
        <w:tc>
          <w:tcPr>
            <w:tcW w:type="dxa" w:w="2880"/>
          </w:tcPr>
          <w:p>
            <w:r>
              <w:t>MOD-02</w:t>
            </w:r>
          </w:p>
        </w:tc>
        <w:tc>
          <w:tcPr>
            <w:tcW w:type="dxa" w:w="2880"/>
          </w:tcPr>
          <w:p>
            <w:r>
              <w:t>Движок рендеринга PDF</w:t>
            </w:r>
          </w:p>
        </w:tc>
        <w:tc>
          <w:tcPr>
            <w:tcW w:type="dxa" w:w="2880"/>
          </w:tcPr>
          <w:p>
            <w:r>
              <w:t>Успешно</w:t>
            </w:r>
          </w:p>
        </w:tc>
      </w:tr>
      <w:tr>
        <w:tc>
          <w:tcPr>
            <w:tcW w:type="dxa" w:w="2880"/>
          </w:tcPr>
          <w:p>
            <w:r>
              <w:t>MOD-03</w:t>
            </w:r>
          </w:p>
        </w:tc>
        <w:tc>
          <w:tcPr>
            <w:tcW w:type="dxa" w:w="2880"/>
          </w:tcPr>
          <w:p>
            <w:r>
              <w:t>Валидатор PyMuPDF</w:t>
            </w:r>
          </w:p>
        </w:tc>
        <w:tc>
          <w:tcPr>
            <w:tcW w:type="dxa" w:w="2880"/>
          </w:tcPr>
          <w:p>
            <w:r>
              <w:t>Активен</w:t>
            </w:r>
          </w:p>
        </w:tc>
      </w:tr>
    </w:tbl>
    <w:p>
      <w:pPr>
        <w:pStyle w:val="Heading1"/>
      </w:pPr>
      <w:r>
        <w:t>Встроенное изображение</w:t>
      </w:r>
    </w:p>
    <w:p>
      <w:r>
        <w:drawing>
          <wp:inline xmlns:a="http://schemas.openxmlformats.org/drawingml/2006/main" xmlns:pic="http://schemas.openxmlformats.org/drawingml/2006/picture">
            <wp:extent cx="41148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Вторая страница документа</w:t>
      </w:r>
    </w:p>
    <w:p>
      <w:r>
        <w:t>Текст на второй странице для проверки разбивки страниц в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